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1"/>
        <w:gridCol w:w="30"/>
        <w:gridCol w:w="5339"/>
      </w:tblGrid>
      <w:tr w:rsidR="00311F7C" w:rsidRPr="00382FFE" w14:paraId="2878E31F" w14:textId="77777777" w:rsidTr="0038009F">
        <w:trPr>
          <w:cantSplit/>
          <w:trHeight w:hRule="exact" w:val="2323"/>
          <w:jc w:val="center"/>
        </w:trPr>
        <w:tc>
          <w:tcPr>
            <w:tcW w:w="6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</w:tcPr>
          <w:p w14:paraId="009F1366" w14:textId="77777777" w:rsidR="007A0A81" w:rsidRPr="00382FFE" w:rsidRDefault="007F00A2" w:rsidP="00B134D9">
            <w:pPr>
              <w:spacing w:after="0"/>
              <w:jc w:val="center"/>
              <w:rPr>
                <w:sz w:val="16"/>
                <w:szCs w:val="16"/>
                <w:lang w:val="sq-AL"/>
              </w:rPr>
            </w:pPr>
            <w:bookmarkStart w:id="0" w:name="_Hlk156295886"/>
            <w:bookmarkEnd w:id="0"/>
            <w:r w:rsidRPr="00382FFE">
              <w:rPr>
                <w:noProof/>
                <w:sz w:val="16"/>
                <w:szCs w:val="16"/>
              </w:rPr>
              <w:drawing>
                <wp:inline distT="0" distB="0" distL="0" distR="0" wp14:anchorId="1977C8A8" wp14:editId="23598F67">
                  <wp:extent cx="2838450" cy="146304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</w:tcPr>
          <w:p w14:paraId="71B7D42B" w14:textId="77777777" w:rsidR="00311F7C" w:rsidRPr="00382FFE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5C0B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329"/>
            </w:tblGrid>
            <w:tr w:rsidR="00311F7C" w:rsidRPr="00382FFE" w14:paraId="7F403FA4" w14:textId="77777777">
              <w:tc>
                <w:tcPr>
                  <w:tcW w:w="5000" w:type="pct"/>
                </w:tcPr>
                <w:p w14:paraId="34536498" w14:textId="36955BAC" w:rsidR="00F70648" w:rsidRPr="00382FFE" w:rsidRDefault="00FC775B" w:rsidP="00E85FA0">
                  <w:pPr>
                    <w:pStyle w:val="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  <w:r w:rsidRPr="00382FFE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BULETINI MUJOR I SËMUNDSHM</w:t>
                  </w:r>
                  <w:r w:rsidR="00A06D8F" w:rsidRPr="00382FFE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Ë</w:t>
                  </w:r>
                  <w:r w:rsidRPr="00382FFE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RISË</w:t>
                  </w:r>
                  <w:r w:rsidR="00F23820" w:rsidRPr="00382FFE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 xml:space="preserve"> INFEKTIVE</w:t>
                  </w:r>
                </w:p>
                <w:p w14:paraId="7E46DAAE" w14:textId="77777777" w:rsidR="00311F7C" w:rsidRPr="00382FFE" w:rsidRDefault="00311F7C" w:rsidP="00E85FA0">
                  <w:pPr>
                    <w:pStyle w:val="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  <w:r w:rsidRPr="00382FFE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(Pasqyra 14 Sh)</w:t>
                  </w:r>
                </w:p>
              </w:tc>
            </w:tr>
            <w:tr w:rsidR="00311F7C" w:rsidRPr="00382FFE" w14:paraId="63783555" w14:textId="77777777" w:rsidTr="00F04F8D">
              <w:trPr>
                <w:trHeight w:val="360"/>
              </w:trPr>
              <w:tc>
                <w:tcPr>
                  <w:tcW w:w="5000" w:type="pct"/>
                  <w:vAlign w:val="bottom"/>
                </w:tcPr>
                <w:p w14:paraId="5ED66F49" w14:textId="77777777" w:rsidR="00311F7C" w:rsidRPr="00382FFE" w:rsidRDefault="00311F7C" w:rsidP="009138D4">
                  <w:pPr>
                    <w:pStyle w:val="Sub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</w:p>
              </w:tc>
            </w:tr>
          </w:tbl>
          <w:p w14:paraId="15A2FAB6" w14:textId="77777777" w:rsidR="00311F7C" w:rsidRPr="00382FFE" w:rsidRDefault="00311F7C">
            <w:pPr>
              <w:pStyle w:val="Subtitle"/>
              <w:rPr>
                <w:rFonts w:ascii="Times New Roman" w:hAnsi="Times New Roman"/>
                <w:sz w:val="36"/>
                <w:szCs w:val="36"/>
                <w:lang w:val="sq-AL"/>
              </w:rPr>
            </w:pPr>
          </w:p>
        </w:tc>
      </w:tr>
      <w:tr w:rsidR="00311F7C" w:rsidRPr="00382FFE" w14:paraId="6524D7CE" w14:textId="77777777" w:rsidTr="0038009F">
        <w:trPr>
          <w:cantSplit/>
          <w:trHeight w:hRule="exact" w:val="72"/>
          <w:jc w:val="center"/>
        </w:trPr>
        <w:tc>
          <w:tcPr>
            <w:tcW w:w="6151" w:type="dxa"/>
            <w:tcBorders>
              <w:top w:val="single" w:sz="4" w:space="0" w:color="FFFFFF"/>
            </w:tcBorders>
          </w:tcPr>
          <w:p w14:paraId="40ADEF48" w14:textId="77777777" w:rsidR="00311F7C" w:rsidRPr="00382FFE" w:rsidRDefault="00311F7C">
            <w:pPr>
              <w:rPr>
                <w:sz w:val="16"/>
                <w:szCs w:val="16"/>
                <w:lang w:val="sq-AL"/>
              </w:rPr>
            </w:pPr>
          </w:p>
        </w:tc>
        <w:tc>
          <w:tcPr>
            <w:tcW w:w="30" w:type="dxa"/>
          </w:tcPr>
          <w:p w14:paraId="6BC180E2" w14:textId="77777777" w:rsidR="00311F7C" w:rsidRPr="00382FFE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tcBorders>
              <w:top w:val="single" w:sz="4" w:space="0" w:color="FFFFFF"/>
            </w:tcBorders>
          </w:tcPr>
          <w:p w14:paraId="797A553C" w14:textId="77777777" w:rsidR="00311F7C" w:rsidRPr="00382FFE" w:rsidRDefault="00311F7C">
            <w:pPr>
              <w:pStyle w:val="NoSpacing"/>
              <w:rPr>
                <w:rFonts w:ascii="Times New Roman" w:hAnsi="Times New Roman"/>
                <w:sz w:val="36"/>
                <w:szCs w:val="36"/>
                <w:lang w:val="sq-AL"/>
              </w:rPr>
            </w:pPr>
          </w:p>
        </w:tc>
      </w:tr>
      <w:tr w:rsidR="00311F7C" w:rsidRPr="00382FFE" w14:paraId="7022EA8D" w14:textId="77777777" w:rsidTr="0038009F">
        <w:trPr>
          <w:cantSplit/>
          <w:trHeight w:val="360"/>
          <w:jc w:val="center"/>
        </w:trPr>
        <w:tc>
          <w:tcPr>
            <w:tcW w:w="6151" w:type="dxa"/>
            <w:shd w:val="clear" w:color="auto" w:fill="FFA830"/>
            <w:tcMar>
              <w:left w:w="0" w:type="dxa"/>
              <w:right w:w="115" w:type="dxa"/>
            </w:tcMar>
          </w:tcPr>
          <w:p w14:paraId="5177E129" w14:textId="77777777" w:rsidR="00311F7C" w:rsidRPr="00382FFE" w:rsidRDefault="00B134D9" w:rsidP="001F7D08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  <w:r w:rsidRPr="00382FFE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DEPARTAMENTI I EPIDEMIOLOGJISË DHE KONTROLLIT TË SËMUNDJEVE INFEKTIVE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center"/>
          </w:tcPr>
          <w:p w14:paraId="7F05CE3D" w14:textId="77777777" w:rsidR="00311F7C" w:rsidRPr="00382FFE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shd w:val="clear" w:color="auto" w:fill="404040"/>
            <w:tcMar>
              <w:left w:w="0" w:type="dxa"/>
              <w:right w:w="115" w:type="dxa"/>
            </w:tcMar>
            <w:vAlign w:val="center"/>
          </w:tcPr>
          <w:p w14:paraId="1CC5ED07" w14:textId="6570990B" w:rsidR="00311F7C" w:rsidRPr="00382FFE" w:rsidRDefault="004118B5" w:rsidP="00B134D9">
            <w:pPr>
              <w:pStyle w:val="Heading4"/>
              <w:jc w:val="center"/>
              <w:rPr>
                <w:rFonts w:ascii="Times New Roman" w:hAnsi="Times New Roman"/>
                <w:sz w:val="20"/>
                <w:lang w:val="sq-AL"/>
              </w:rPr>
            </w:pPr>
            <w:r w:rsidRPr="00382FFE">
              <w:rPr>
                <w:rFonts w:ascii="Times New Roman" w:hAnsi="Times New Roman"/>
                <w:sz w:val="20"/>
                <w:lang w:val="sq-AL"/>
              </w:rPr>
              <w:t>Gusht</w:t>
            </w:r>
            <w:r w:rsidR="00475007" w:rsidRPr="00382FFE">
              <w:rPr>
                <w:rFonts w:ascii="Times New Roman" w:hAnsi="Times New Roman"/>
                <w:sz w:val="20"/>
                <w:lang w:val="sq-AL"/>
              </w:rPr>
              <w:t>,</w:t>
            </w:r>
            <w:r w:rsidR="00F6259D" w:rsidRPr="00382FFE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A81AC0" w:rsidRPr="00382FFE">
              <w:rPr>
                <w:rFonts w:ascii="Times New Roman" w:hAnsi="Times New Roman"/>
                <w:sz w:val="20"/>
                <w:lang w:val="sq-AL"/>
              </w:rPr>
              <w:t>202</w:t>
            </w:r>
            <w:r w:rsidR="003F4B9C" w:rsidRPr="00382FFE">
              <w:rPr>
                <w:rFonts w:ascii="Times New Roman" w:hAnsi="Times New Roman"/>
                <w:sz w:val="20"/>
                <w:lang w:val="sq-AL"/>
              </w:rPr>
              <w:t>5</w:t>
            </w:r>
          </w:p>
        </w:tc>
      </w:tr>
    </w:tbl>
    <w:p w14:paraId="068D083B" w14:textId="77777777" w:rsidR="0001065E" w:rsidRPr="00382FFE" w:rsidRDefault="0001065E">
      <w:pPr>
        <w:rPr>
          <w:lang w:val="sq-AL"/>
        </w:rPr>
        <w:sectPr w:rsidR="0001065E" w:rsidRPr="00382FFE" w:rsidSect="00D61599">
          <w:headerReference w:type="default" r:id="rId12"/>
          <w:headerReference w:type="first" r:id="rId13"/>
          <w:pgSz w:w="12240" w:h="15840" w:code="1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0838A2A6" w14:textId="1AA15C5C" w:rsidR="00672F40" w:rsidRPr="00382FFE" w:rsidRDefault="00672F40" w:rsidP="007026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lastRenderedPageBreak/>
        <w:t>Buletini Mujor i Sëmundshmërisë Inf</w:t>
      </w:r>
      <w:r w:rsidR="009E462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ektive publikohet çdo muaj nga 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Sektori i Survejancës dhe Shërbimi i </w:t>
      </w:r>
      <w:r w:rsidR="009E462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Inteligjencës Epidemike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, Instituti i Shëndetit Publik (ISHP) dhe bazohet në të dhënat e raportuara përmes Pasqyrës Mujore 14 Sh dhe Sistemit të Informacionit të Sëmundjeve Infektive (SISI). Të dhënat e agreguara të Pasqyrës 14 Sh dhe të dhënat individuale të raportuara në SISI për muajin </w:t>
      </w:r>
      <w:r w:rsidR="00DC6E1C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usht</w:t>
      </w:r>
      <w:r w:rsidR="00637FD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202</w:t>
      </w:r>
      <w:r w:rsidR="003F4B9C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5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të dhënat e raportuara nga Njësitë Vendore të Kujdesit Shëndetësor (NJVKSH)</w:t>
      </w:r>
      <w:r w:rsidR="00A3532D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9E462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të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cilat krahasohen nga</w:t>
      </w:r>
      <w:r w:rsidR="0070264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Departamenti i Epidemiologjisë dhe Kontrollit të Sëmundjeve Infektive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70264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(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DEKSI</w:t>
      </w:r>
      <w:r w:rsidR="0070264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)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, dhe plotësohen edhe me të dhënat e laboratorëve të referencës në ISHP. Ky raport paraqet kryesisht </w:t>
      </w:r>
      <w:r w:rsidR="009E462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rastet e konfirmuara dhe në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disa raste edhe </w:t>
      </w:r>
      <w:r w:rsidR="009E462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rastet e dyshuara dhe të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konfirmuara. </w:t>
      </w:r>
    </w:p>
    <w:p w14:paraId="57824579" w14:textId="33233118" w:rsidR="00054C36" w:rsidRPr="00382FFE" w:rsidRDefault="00054C36" w:rsidP="00DE12A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681F46AD" w14:textId="77777777" w:rsidR="00F65604" w:rsidRPr="00382FFE" w:rsidRDefault="00F65604" w:rsidP="00DE12A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08ABC1A9" w14:textId="711D77D2" w:rsidR="00414EB7" w:rsidRPr="00382FFE" w:rsidRDefault="00FC775B" w:rsidP="006A24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Së</w:t>
      </w:r>
      <w:r w:rsidR="00807E29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mundjet diarreike</w:t>
      </w:r>
    </w:p>
    <w:p w14:paraId="5DC2A39F" w14:textId="0584645C" w:rsidR="00402849" w:rsidRPr="00382FFE" w:rsidRDefault="00EB2D87" w:rsidP="008223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S</w:t>
      </w:r>
      <w:r w:rsidR="002D77F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ëmundjet</w:t>
      </w:r>
      <w:r w:rsidR="00807E2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diarreike 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gjatë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muajit</w:t>
      </w:r>
      <w:r w:rsidR="00A9364F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B700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usht</w:t>
      </w:r>
      <w:r w:rsidR="00637FD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EE462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zënë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56.4</w:t>
      </w:r>
      <w:r w:rsidR="00EB416F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% të totalit të sëmundjeve infektive të raportuara me anë të Pasqyrës 14 S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h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dhe </w:t>
      </w:r>
      <w:r w:rsidR="00807E2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paraqesin </w:t>
      </w:r>
      <w:r w:rsidR="002D77F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një</w:t>
      </w:r>
      <w:r w:rsidR="00807E2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inciden</w:t>
      </w:r>
      <w:r w:rsidR="002D77F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c</w:t>
      </w:r>
      <w:r w:rsidR="005E0D6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60BD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591.6</w:t>
      </w:r>
      <w:r w:rsidR="002B401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/</w:t>
      </w:r>
      <w:r w:rsidR="00807E2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</w:t>
      </w:r>
      <w:r w:rsidR="00DD0F2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07E2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. 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Gastro</w:t>
      </w:r>
      <w:r w:rsidR="003557B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-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enteritet e paspecifikuar</w:t>
      </w:r>
      <w:r w:rsidR="002D7ED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a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të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shpërndara n</w:t>
      </w:r>
      <w:r w:rsidR="005E0D6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</w:t>
      </w:r>
      <w:r w:rsidR="005E0D6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gjitha </w:t>
      </w:r>
      <w:r w:rsidR="00CA6BF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bashkitë</w:t>
      </w:r>
      <w:r w:rsidR="009F20D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D7ED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 ve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ndit dhe zënë peshën kryesore në</w:t>
      </w:r>
      <w:r w:rsidR="002D7ED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grupin e sëmundjeve diarreike.</w:t>
      </w:r>
      <w:r w:rsidR="00CA206D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Ndërkohë që</w:t>
      </w:r>
      <w:r w:rsidR="00FC775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në nivel kombëtar helmimet ushqim</w:t>
      </w:r>
      <w:r w:rsidR="008871F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ore paraqesin një incidencë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7.41</w:t>
      </w:r>
      <w:r w:rsidR="00637FD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/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banorë.</w:t>
      </w:r>
      <w:r w:rsidR="006333E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NJVKSH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Berat</w:t>
      </w:r>
      <w:r w:rsidR="00EC4A0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1C7F4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dhe </w:t>
      </w:r>
      <w:r w:rsidR="00EC58B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Kukë</w:t>
      </w:r>
      <w:r w:rsidR="00672DB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s</w:t>
      </w:r>
      <w:r w:rsidR="001C7F4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mbajnë peshën kryesore në raportimin e helmimeve ushqimore. Duhet theksuar që, numri i lartë i rasteve të raportuara me helmime ushqimore dhe gastro</w:t>
      </w:r>
      <w:r w:rsidR="0031640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-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enterite është i lidhur me pamundësinë në nivelin e disa </w:t>
      </w:r>
      <w:r w:rsidR="000E184C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bashkive</w:t>
      </w:r>
      <w:r w:rsidR="008223F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p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223F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diagnoz</w:t>
      </w:r>
      <w:r w:rsidR="008223F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ën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223F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 saktë klinike dhe konfirmimin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223F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saj me diagnozën laboratorike mikrobiologjike.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871F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NJVKSH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Shkod</w:t>
      </w:r>
      <w:r w:rsidR="0074048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871F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mban peshën kryesore të incidencës së </w:t>
      </w:r>
      <w:r w:rsidR="008871F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Salmoneloz</w:t>
      </w:r>
      <w:r w:rsidR="0074048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871F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 dhe 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Shigelozës për muajin </w:t>
      </w:r>
      <w:r w:rsidR="004B700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usht</w:t>
      </w:r>
      <w:r w:rsidR="00637FD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EE462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="00DE02E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në nivel kombëtar</w:t>
      </w:r>
      <w:r w:rsidR="009C57B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.</w:t>
      </w:r>
    </w:p>
    <w:p w14:paraId="24FBAF6C" w14:textId="77777777" w:rsidR="00DB49B6" w:rsidRPr="00382FFE" w:rsidRDefault="00DB49B6" w:rsidP="008223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62D6ED4C" w14:textId="0960B98E" w:rsidR="00FC4DD2" w:rsidRPr="00382FFE" w:rsidRDefault="00FC4DD2" w:rsidP="003E7CBD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19DD3925" w14:textId="77777777" w:rsidR="00DC7BE9" w:rsidRPr="00382FFE" w:rsidRDefault="00DC7BE9" w:rsidP="00E4329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2"/>
          <w:lang w:val="sq-AL"/>
        </w:rPr>
      </w:pPr>
    </w:p>
    <w:p w14:paraId="699136FB" w14:textId="77777777" w:rsidR="00DC7BE9" w:rsidRPr="00382FFE" w:rsidRDefault="00DC7BE9" w:rsidP="00E4329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2"/>
          <w:lang w:val="sq-AL"/>
        </w:rPr>
      </w:pPr>
    </w:p>
    <w:p w14:paraId="5D161E04" w14:textId="4438458B" w:rsidR="00316D97" w:rsidRPr="00382FFE" w:rsidRDefault="005B3A1E" w:rsidP="00382FF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Tabela 1: </w:t>
      </w:r>
      <w:r w:rsidR="00D37C53" w:rsidRPr="00382FFE">
        <w:rPr>
          <w:rFonts w:asciiTheme="majorBidi" w:hAnsiTheme="majorBidi" w:cstheme="majorBidi"/>
          <w:b/>
          <w:sz w:val="24"/>
          <w:szCs w:val="24"/>
          <w:lang w:val="sq-AL"/>
        </w:rPr>
        <w:t>Frekuencat dhe incidencat e s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>ëmundje</w:t>
      </w:r>
      <w:r w:rsidR="00D37C53" w:rsidRPr="00382FFE">
        <w:rPr>
          <w:rFonts w:asciiTheme="majorBidi" w:hAnsiTheme="majorBidi" w:cstheme="majorBidi"/>
          <w:b/>
          <w:sz w:val="24"/>
          <w:szCs w:val="24"/>
          <w:lang w:val="sq-AL"/>
        </w:rPr>
        <w:t>ve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diarreike </w:t>
      </w:r>
      <w:r w:rsidR="009C0E3F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për muajin </w:t>
      </w:r>
      <w:r w:rsidR="006D5D8E" w:rsidRPr="00382FFE">
        <w:rPr>
          <w:rFonts w:asciiTheme="majorBidi" w:hAnsiTheme="majorBidi" w:cstheme="majorBidi"/>
          <w:b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b/>
          <w:sz w:val="24"/>
          <w:szCs w:val="24"/>
          <w:lang w:val="sq-AL"/>
        </w:rPr>
        <w:t>usht</w:t>
      </w:r>
      <w:r w:rsidR="00155352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1508F3" w:rsidRPr="00382FFE">
        <w:rPr>
          <w:rFonts w:asciiTheme="majorBidi" w:hAnsiTheme="majorBidi" w:cstheme="majorBidi"/>
          <w:b/>
          <w:sz w:val="24"/>
          <w:szCs w:val="24"/>
          <w:lang w:val="sq-AL"/>
        </w:rPr>
        <w:t>2025</w:t>
      </w:r>
      <w:r w:rsidR="003D67A2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84778F" w:rsidRPr="00382FFE">
        <w:rPr>
          <w:rFonts w:asciiTheme="majorBidi" w:hAnsiTheme="majorBidi" w:cstheme="majorBidi"/>
          <w:b/>
          <w:sz w:val="24"/>
          <w:szCs w:val="24"/>
          <w:lang w:val="sq-AL"/>
        </w:rPr>
        <w:t>(Incidenca raste/100.000 banorë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>)</w:t>
      </w:r>
    </w:p>
    <w:tbl>
      <w:tblPr>
        <w:tblW w:w="8914" w:type="dxa"/>
        <w:tblInd w:w="43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55"/>
        <w:gridCol w:w="1550"/>
        <w:gridCol w:w="2509"/>
      </w:tblGrid>
      <w:tr w:rsidR="0060013A" w:rsidRPr="00382FFE" w14:paraId="7291881A" w14:textId="77777777" w:rsidTr="00C9019D">
        <w:trPr>
          <w:trHeight w:val="711"/>
        </w:trPr>
        <w:tc>
          <w:tcPr>
            <w:tcW w:w="4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60" w:color="000000" w:fill="FFFFFF"/>
          </w:tcPr>
          <w:p w14:paraId="2BA1F689" w14:textId="77777777" w:rsidR="0060013A" w:rsidRPr="00382FFE" w:rsidRDefault="0060013A" w:rsidP="00E4329F">
            <w:pPr>
              <w:spacing w:after="0" w:line="360" w:lineRule="auto"/>
              <w:ind w:left="-18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pct60" w:color="000000" w:fill="FFFFFF"/>
          </w:tcPr>
          <w:p w14:paraId="7F7B9EF0" w14:textId="77777777" w:rsidR="0060013A" w:rsidRPr="00382FFE" w:rsidRDefault="0084778F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Raste</w:t>
            </w:r>
          </w:p>
          <w:p w14:paraId="448D4DBB" w14:textId="2076D535" w:rsidR="0060013A" w:rsidRPr="00382FFE" w:rsidRDefault="006D5D8E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g</w:t>
            </w:r>
            <w:r w:rsidR="004118B5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usht</w:t>
            </w:r>
            <w:r w:rsidR="00155352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 </w:t>
            </w:r>
            <w:r w:rsidR="00A81AC0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202</w:t>
            </w:r>
            <w:r w:rsidR="006B622F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5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60" w:color="000000" w:fill="FFFFFF"/>
          </w:tcPr>
          <w:p w14:paraId="7BEBD22D" w14:textId="10EA2C87" w:rsidR="0060013A" w:rsidRPr="00382FFE" w:rsidRDefault="0060013A" w:rsidP="00155352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Incidenca </w:t>
            </w:r>
            <w:r w:rsidR="006D5D8E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g</w:t>
            </w:r>
            <w:r w:rsidR="004118B5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usht</w:t>
            </w:r>
            <w:r w:rsidR="00155352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 </w:t>
            </w:r>
            <w:r w:rsidR="001508F3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2025</w:t>
            </w:r>
          </w:p>
          <w:p w14:paraId="20EB00FC" w14:textId="77777777" w:rsidR="0060013A" w:rsidRPr="00382FFE" w:rsidRDefault="0060013A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(raste/100.000 banor</w:t>
            </w:r>
            <w:r w:rsidR="00897E61"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ë</w:t>
            </w:r>
            <w:r w:rsidRPr="00382FFE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)</w:t>
            </w:r>
          </w:p>
        </w:tc>
      </w:tr>
      <w:tr w:rsidR="004118B5" w:rsidRPr="00382FFE" w14:paraId="67868882" w14:textId="77777777" w:rsidTr="001F6AA6">
        <w:trPr>
          <w:trHeight w:val="327"/>
        </w:trPr>
        <w:tc>
          <w:tcPr>
            <w:tcW w:w="485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1F555D" w14:textId="77777777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Tifo abdominale + Paratifo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1ABDCE" w14:textId="47068706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</w:t>
            </w:r>
          </w:p>
        </w:tc>
        <w:tc>
          <w:tcPr>
            <w:tcW w:w="250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09F06CB1" w14:textId="46BC42FB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0.00</w:t>
            </w:r>
          </w:p>
        </w:tc>
      </w:tr>
      <w:tr w:rsidR="004118B5" w:rsidRPr="00382FFE" w14:paraId="7BEFD969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2FC4A2" w14:textId="77777777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Salmoneloza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9759C9" w14:textId="40994DB4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17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075C532F" w14:textId="39B43503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0.59</w:t>
            </w:r>
          </w:p>
        </w:tc>
      </w:tr>
      <w:tr w:rsidR="004118B5" w:rsidRPr="00382FFE" w14:paraId="52E2282F" w14:textId="77777777" w:rsidTr="001F6AA6">
        <w:trPr>
          <w:trHeight w:val="364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7478D9" w14:textId="77777777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Shigelozë (</w:t>
            </w: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Disenteri bacilare)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4CDF4A" w14:textId="4E13C7D0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7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661F1E81" w14:textId="62DA3622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0.24</w:t>
            </w:r>
          </w:p>
        </w:tc>
      </w:tr>
      <w:tr w:rsidR="004118B5" w:rsidRPr="00382FFE" w14:paraId="4D165D97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2C6D70" w14:textId="77777777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Dizenteri amebike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6F3DC6" w14:textId="1CBD0DB5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6EA1B7D5" w14:textId="3920D702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0.00</w:t>
            </w:r>
          </w:p>
        </w:tc>
      </w:tr>
      <w:tr w:rsidR="004118B5" w:rsidRPr="00382FFE" w14:paraId="0FF11D03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14364" w14:textId="7FF3B178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Toksiko-infeksione alimentare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5355DB" w14:textId="66AC36DA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212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43117638" w14:textId="4B04986D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7.41</w:t>
            </w:r>
          </w:p>
        </w:tc>
      </w:tr>
      <w:tr w:rsidR="004118B5" w:rsidRPr="00382FFE" w14:paraId="74CC7B20" w14:textId="77777777" w:rsidTr="001F6AA6">
        <w:trPr>
          <w:trHeight w:val="294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F2A753" w14:textId="55AC3C70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Gastro-enterite (etiologji e panjohur)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09ED94" w14:textId="7F7063BB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16698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16EBF2C0" w14:textId="75883594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583.35</w:t>
            </w:r>
          </w:p>
        </w:tc>
      </w:tr>
      <w:tr w:rsidR="004118B5" w:rsidRPr="00382FFE" w14:paraId="5C106FA6" w14:textId="77777777" w:rsidTr="001F6AA6">
        <w:trPr>
          <w:trHeight w:val="285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9C707C" w14:textId="77777777" w:rsidR="004118B5" w:rsidRPr="00382FFE" w:rsidRDefault="004118B5" w:rsidP="004118B5">
            <w:pPr>
              <w:spacing w:line="360" w:lineRule="auto"/>
              <w:ind w:left="-1150" w:firstLine="1150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Sëmundje diarreike në total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3943A9D" w14:textId="116C5543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16934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68994C49" w14:textId="65A8B0F8" w:rsidR="004118B5" w:rsidRPr="00382FFE" w:rsidRDefault="004118B5" w:rsidP="004118B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sz w:val="22"/>
                <w:lang w:val="sq-AL"/>
              </w:rPr>
              <w:t>591.60</w:t>
            </w:r>
          </w:p>
        </w:tc>
      </w:tr>
    </w:tbl>
    <w:p w14:paraId="7E3E8A7A" w14:textId="662F2774" w:rsidR="009A4C44" w:rsidRPr="00382FFE" w:rsidRDefault="009A4C44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3A098673" w14:textId="7FA4F2DE" w:rsidR="00DC7BE9" w:rsidRPr="00382FFE" w:rsidRDefault="00DC7BE9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76062A80" w14:textId="525D9870" w:rsidR="00DC7BE9" w:rsidRPr="00382FFE" w:rsidRDefault="00DC7BE9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6BADE743" w14:textId="77777777" w:rsidR="00A80BB1" w:rsidRPr="00382FFE" w:rsidRDefault="00A80BB1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613232FE" w14:textId="27C6E5AF" w:rsidR="007646A9" w:rsidRPr="00382FFE" w:rsidRDefault="00864DE2" w:rsidP="00D441BC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  <w:r w:rsidRPr="00382FFE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Sëmundjet</w:t>
      </w:r>
      <w:r w:rsidR="001641A7" w:rsidRPr="00382FFE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 xml:space="preserve"> </w:t>
      </w:r>
      <w:r w:rsidR="00F707DA" w:rsidRPr="00382FFE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q</w:t>
      </w:r>
      <w:r w:rsidR="00402849" w:rsidRPr="00382FFE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ë</w:t>
      </w:r>
      <w:r w:rsidR="00F707DA" w:rsidRPr="00382FFE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 xml:space="preserve"> parandalohen nga vaksina</w:t>
      </w:r>
    </w:p>
    <w:p w14:paraId="2CB3DEE5" w14:textId="09AD02DC" w:rsidR="00ED6BF3" w:rsidRPr="00382FFE" w:rsidRDefault="00402849" w:rsidP="000E2050">
      <w:pPr>
        <w:spacing w:after="16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2.</w:t>
      </w:r>
      <w:r w:rsidR="00BE0E70" w:rsidRPr="00382FF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1</w:t>
      </w:r>
      <w:r w:rsidRPr="00382FF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Vari</w:t>
      </w:r>
      <w:r w:rsidR="00C34540" w:rsidRPr="00382FF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ç</w:t>
      </w:r>
      <w:r w:rsidR="006333E0" w:rsidRPr="00382FF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ela</w:t>
      </w:r>
    </w:p>
    <w:p w14:paraId="3AAE86A3" w14:textId="4BE585CD" w:rsidR="00901DA2" w:rsidRPr="00382FFE" w:rsidRDefault="00F707DA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Në raportimin mujor të sëmundshmërisë infektive gjatë muajit </w:t>
      </w:r>
      <w:r w:rsidR="000B543F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usht</w:t>
      </w:r>
      <w:r w:rsidR="004D49F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6375C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raportuar në total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37</w:t>
      </w:r>
      <w:r w:rsidR="005C738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raste </w:t>
      </w:r>
      <w:r w:rsidR="00CA6BF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v</w:t>
      </w:r>
      <w:r w:rsidR="001D37E4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ari</w:t>
      </w:r>
      <w:r w:rsidR="00C3454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ç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el</w:t>
      </w:r>
      <w:r w:rsidR="00C3454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A6BF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(i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ncidenca </w:t>
      </w:r>
      <w:r w:rsidR="002B56F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1.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29</w:t>
      </w:r>
      <w:r w:rsidR="00E4033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/ </w:t>
      </w:r>
      <w:r w:rsidR="006A035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) nga t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cilat</w:t>
      </w:r>
      <w:r w:rsidR="000F02AD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24</w:t>
      </w:r>
      <w:r w:rsidR="0040225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raste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dyshuara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dhe</w:t>
      </w:r>
      <w:r w:rsidR="002F4AB0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13</w:t>
      </w:r>
      <w:r w:rsidR="00155352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t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konfi</w:t>
      </w:r>
      <w:r w:rsidR="00054C3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muara klinikisht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bazuar kjo n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p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rkufizimin e rastit p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 s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A6BF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mundjen v</w:t>
      </w:r>
      <w:r w:rsidR="00D0765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ariç</w:t>
      </w:r>
      <w:r w:rsidR="00BC29A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el</w:t>
      </w:r>
      <w:r w:rsidR="00A06D8F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.</w:t>
      </w:r>
      <w:r w:rsidR="005A75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Numri m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i madh i rasteve 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sht</w:t>
      </w:r>
      <w:r w:rsidR="0040284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raportuar nga</w:t>
      </w:r>
      <w:r w:rsidR="0040225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916A8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NJVKSH</w:t>
      </w:r>
      <w:r w:rsidR="004200D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5D13F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Tiranë </w:t>
      </w:r>
      <w:r w:rsidR="00916A8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me</w:t>
      </w:r>
      <w:r w:rsidR="007A73E7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B56F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4</w:t>
      </w:r>
      <w:r w:rsidR="0082047D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200DE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raste.</w:t>
      </w:r>
      <w:r w:rsidR="005A75CB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33AE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Numri më i lartë i rasteve i përket grup-moshës </w:t>
      </w:r>
      <w:r w:rsidR="0041485A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4-9 vjeç</w:t>
      </w:r>
      <w:r w:rsidR="0082047D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33AE3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me</w:t>
      </w:r>
      <w:r w:rsidR="00C64BA9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118B5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21</w:t>
      </w:r>
      <w:r w:rsidR="00785B84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1200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raste</w:t>
      </w:r>
      <w:r w:rsidR="00472D6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B12008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72D6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047516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rafiku </w:t>
      </w:r>
      <w:r w:rsidR="00472D61" w:rsidRPr="00382FFE">
        <w:rPr>
          <w:rFonts w:asciiTheme="majorBidi" w:hAnsiTheme="majorBidi" w:cstheme="majorBidi"/>
          <w:color w:val="000000"/>
          <w:sz w:val="24"/>
          <w:szCs w:val="24"/>
          <w:lang w:val="sq-AL"/>
        </w:rPr>
        <w:t>1.</w:t>
      </w:r>
      <w:bookmarkStart w:id="1" w:name="_Hlk169701001"/>
    </w:p>
    <w:p w14:paraId="1D3E1952" w14:textId="46A6CED1" w:rsidR="000E2050" w:rsidRPr="00382FFE" w:rsidRDefault="000E2050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0858FE79" w14:textId="7AB30792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41366D97" w14:textId="22341DF6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446E29E1" w14:textId="00906FF5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4023AF65" w14:textId="4FB5807D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010F13AE" w14:textId="151F6D7E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71B84746" w14:textId="0BC11102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08B64017" w14:textId="6937DA91" w:rsidR="00DC7BE9" w:rsidRPr="00382FFE" w:rsidRDefault="00DC7BE9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720300B3" w14:textId="748D95D7" w:rsidR="00AD7A5B" w:rsidRPr="00382FFE" w:rsidRDefault="00AD7A5B" w:rsidP="003E7CB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7D6DFB8D" w14:textId="1C29287D" w:rsidR="000A60CB" w:rsidRPr="00382FFE" w:rsidRDefault="005A75CB" w:rsidP="003E7CB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lastRenderedPageBreak/>
        <w:t xml:space="preserve">Grafiku 1. </w:t>
      </w:r>
      <w:bookmarkEnd w:id="1"/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Shpërndarja e rasteve sipas grup-moshës</w:t>
      </w:r>
    </w:p>
    <w:p w14:paraId="0228F73D" w14:textId="68671CA2" w:rsidR="00901DA2" w:rsidRPr="00382FFE" w:rsidRDefault="00F83BE8" w:rsidP="0082047D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82FFE">
        <w:rPr>
          <w:noProof/>
        </w:rPr>
        <w:drawing>
          <wp:inline distT="0" distB="0" distL="0" distR="0" wp14:anchorId="56C27381" wp14:editId="7CD5F0FA">
            <wp:extent cx="4572000" cy="2743200"/>
            <wp:effectExtent l="0" t="0" r="0" b="0"/>
            <wp:docPr id="14465659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85FAC5-7AD3-C8BB-8C0F-11B9E909E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F8F40D" w14:textId="77777777" w:rsidR="000E2050" w:rsidRPr="00382FFE" w:rsidRDefault="000E2050" w:rsidP="000E2050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7E3A48FA" w14:textId="6F555ABE" w:rsidR="00EA1FA7" w:rsidRPr="00382FFE" w:rsidRDefault="006126D4" w:rsidP="000E2050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2.2 Fruthi</w:t>
      </w:r>
    </w:p>
    <w:p w14:paraId="27DA564A" w14:textId="77777777" w:rsidR="007A73E7" w:rsidRPr="00382FFE" w:rsidRDefault="007A73E7" w:rsidP="00EA1FA7">
      <w:pPr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186EB984" w14:textId="67865C9E" w:rsidR="005F1B5D" w:rsidRPr="00382FFE" w:rsidRDefault="00964263" w:rsidP="00964263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Gjatë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 xml:space="preserve"> muajit gusht jan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 xml:space="preserve"> raportuar 2 raste nga t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Pr="00382FFE">
        <w:rPr>
          <w:rFonts w:ascii="Times New Roman" w:hAnsi="Times New Roman"/>
          <w:sz w:val="24"/>
          <w:szCs w:val="24"/>
          <w:lang w:val="sq-AL"/>
        </w:rPr>
        <w:t>a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>t 1 rast u konfirmua me fruth. Incidenca e fruthit p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 xml:space="preserve">r muajin gusht 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>sht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 xml:space="preserve"> 0.04/100 000 banor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5F1B5D" w:rsidRPr="00382FFE">
        <w:rPr>
          <w:rFonts w:ascii="Times New Roman" w:hAnsi="Times New Roman"/>
          <w:sz w:val="24"/>
          <w:szCs w:val="24"/>
          <w:lang w:val="sq-AL"/>
        </w:rPr>
        <w:t>.</w:t>
      </w:r>
    </w:p>
    <w:tbl>
      <w:tblPr>
        <w:tblW w:w="3053" w:type="dxa"/>
        <w:tblInd w:w="-5" w:type="dxa"/>
        <w:tblLook w:val="04A0" w:firstRow="1" w:lastRow="0" w:firstColumn="1" w:lastColumn="0" w:noHBand="0" w:noVBand="1"/>
      </w:tblPr>
      <w:tblGrid>
        <w:gridCol w:w="960"/>
        <w:gridCol w:w="1290"/>
        <w:gridCol w:w="1133"/>
      </w:tblGrid>
      <w:tr w:rsidR="005F1B5D" w:rsidRPr="00382FFE" w14:paraId="6FFD37BD" w14:textId="77777777" w:rsidTr="00F06B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C5DB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Muaj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58A5" w14:textId="1C276F32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Nr</w:t>
            </w:r>
            <w:r w:rsidR="00F9093C"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.</w:t>
            </w: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 xml:space="preserve"> rastesh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95FA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Incidenca</w:t>
            </w:r>
          </w:p>
        </w:tc>
      </w:tr>
      <w:tr w:rsidR="005F1B5D" w:rsidRPr="00382FFE" w14:paraId="235FC4E0" w14:textId="77777777" w:rsidTr="00F06B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3609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Janar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E917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C776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0.04</w:t>
            </w:r>
          </w:p>
        </w:tc>
      </w:tr>
      <w:tr w:rsidR="005F1B5D" w:rsidRPr="00382FFE" w14:paraId="31B38C57" w14:textId="77777777" w:rsidTr="00F06B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806C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Shkurt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67CF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2900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0.12</w:t>
            </w:r>
          </w:p>
        </w:tc>
      </w:tr>
      <w:tr w:rsidR="005F1B5D" w:rsidRPr="00382FFE" w14:paraId="00C49687" w14:textId="77777777" w:rsidTr="00F06B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A6F1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Mars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5460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522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0.42</w:t>
            </w:r>
          </w:p>
        </w:tc>
      </w:tr>
      <w:tr w:rsidR="005F1B5D" w:rsidRPr="00382FFE" w14:paraId="1B4ABA5E" w14:textId="77777777" w:rsidTr="00F06B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5F2F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 xml:space="preserve">Prill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302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5D44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5F1B5D" w:rsidRPr="00382FFE" w14:paraId="0F4D4433" w14:textId="77777777" w:rsidTr="00F06B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78A0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Maj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48BF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B12F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0.04</w:t>
            </w:r>
          </w:p>
        </w:tc>
      </w:tr>
      <w:tr w:rsidR="005F1B5D" w:rsidRPr="00382FFE" w14:paraId="20FC7AC6" w14:textId="77777777" w:rsidTr="00F06B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1020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Qershor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D6CEC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876A6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5F1B5D" w:rsidRPr="00382FFE" w14:paraId="18999F43" w14:textId="77777777" w:rsidTr="00F06B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7D0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Korrik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2DCA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4CD6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5F1B5D" w:rsidRPr="00382FFE" w14:paraId="5EE2CAF2" w14:textId="77777777" w:rsidTr="00F06B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F87EF" w14:textId="77777777" w:rsidR="005F1B5D" w:rsidRPr="00382FFE" w:rsidRDefault="005F1B5D" w:rsidP="00F06B00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Gusht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EB750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4996" w14:textId="77777777" w:rsidR="005F1B5D" w:rsidRPr="00382FFE" w:rsidRDefault="005F1B5D" w:rsidP="00F06B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0.04</w:t>
            </w:r>
          </w:p>
        </w:tc>
      </w:tr>
    </w:tbl>
    <w:p w14:paraId="3D907C62" w14:textId="77777777" w:rsidR="005F1B5D" w:rsidRPr="00382FFE" w:rsidRDefault="005F1B5D" w:rsidP="005F1B5D">
      <w:pPr>
        <w:rPr>
          <w:rFonts w:ascii="Times New Roman" w:hAnsi="Times New Roman"/>
          <w:sz w:val="24"/>
          <w:szCs w:val="24"/>
          <w:lang w:val="sq-AL"/>
        </w:rPr>
      </w:pPr>
    </w:p>
    <w:p w14:paraId="6B00869A" w14:textId="77777777" w:rsidR="005F1B5D" w:rsidRPr="00382FFE" w:rsidRDefault="005F1B5D" w:rsidP="005F1B5D">
      <w:pPr>
        <w:rPr>
          <w:rFonts w:ascii="Times New Roman" w:hAnsi="Times New Roman"/>
          <w:sz w:val="24"/>
          <w:szCs w:val="24"/>
          <w:lang w:val="sq-AL"/>
        </w:rPr>
      </w:pPr>
    </w:p>
    <w:p w14:paraId="4B1C1698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620B6CCD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324268B4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2E801435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2061CCE7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1B4ED5C3" w14:textId="77777777" w:rsidR="00F9093C" w:rsidRPr="00382FFE" w:rsidRDefault="00F9093C" w:rsidP="005F1B5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3643AC50" w14:textId="77777777" w:rsidR="00A80BB1" w:rsidRPr="00382FFE" w:rsidRDefault="00A80BB1" w:rsidP="00F9093C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0E38BB55" w14:textId="4D7901B7" w:rsidR="005F1B5D" w:rsidRPr="00382FFE" w:rsidRDefault="005F1B5D" w:rsidP="00F9093C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lastRenderedPageBreak/>
        <w:t>Grafiku 2. Shp</w:t>
      </w:r>
      <w:r w:rsidR="00F9093C"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rndarja e rasteve t</w:t>
      </w:r>
      <w:r w:rsidR="00F9093C"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konfirmuar sipas dat</w:t>
      </w:r>
      <w:r w:rsidR="00F9093C"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ës së</w:t>
      </w: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fillimit t</w:t>
      </w:r>
      <w:r w:rsidR="00F9093C"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rashit </w:t>
      </w:r>
    </w:p>
    <w:p w14:paraId="4D0D66A9" w14:textId="39104FE4" w:rsidR="005F1B5D" w:rsidRPr="00382FFE" w:rsidRDefault="005F1B5D" w:rsidP="005F1B5D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noProof/>
        </w:rPr>
        <w:drawing>
          <wp:inline distT="0" distB="0" distL="0" distR="0" wp14:anchorId="02EF5C86" wp14:editId="33BD3EB9">
            <wp:extent cx="5271135" cy="2464905"/>
            <wp:effectExtent l="0" t="0" r="5715" b="1206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EE377105-93E9-4555-BDB4-7DE0B11DC5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2833E5" w14:textId="60FF2EDF" w:rsidR="005F1B5D" w:rsidRPr="00382FFE" w:rsidRDefault="005F1B5D" w:rsidP="00FF202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Si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ç shihet dhe nga grafiku 2,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gjat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muajit gusht 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sht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konfirmuar nj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 xml:space="preserve">ë rast me fruth. Rasti eshtë </w:t>
      </w:r>
      <w:r w:rsidRPr="00382FFE">
        <w:rPr>
          <w:rFonts w:ascii="Times New Roman" w:hAnsi="Times New Roman"/>
          <w:sz w:val="24"/>
          <w:szCs w:val="24"/>
          <w:lang w:val="sq-AL"/>
        </w:rPr>
        <w:t>i mosh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 53 vje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>, fem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</w:t>
      </w:r>
      <w:r w:rsidR="00A80BB1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 xml:space="preserve">e pavaksinuar, </w:t>
      </w:r>
      <w:r w:rsidRPr="00382FFE">
        <w:rPr>
          <w:rFonts w:ascii="Times New Roman" w:hAnsi="Times New Roman"/>
          <w:sz w:val="24"/>
          <w:szCs w:val="24"/>
          <w:lang w:val="sq-AL"/>
        </w:rPr>
        <w:t>nga bashkia Berat. Ajo ka qen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e shtruar n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 spitalin i</w:t>
      </w:r>
      <w:r w:rsidRPr="00382FFE">
        <w:rPr>
          <w:rFonts w:ascii="Times New Roman" w:hAnsi="Times New Roman"/>
          <w:sz w:val="24"/>
          <w:szCs w:val="24"/>
          <w:lang w:val="sq-AL"/>
        </w:rPr>
        <w:t>nfektiv QSUT pasi shfaqi shenja 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mundjes. U krye heti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mi epidemiologjik nga sherbimi i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epidemiologjis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Berat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u mor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 masat p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rkat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se 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kontrollit. Rasti ishte </w:t>
      </w:r>
      <w:r w:rsidR="00A80BB1" w:rsidRPr="00382FFE">
        <w:rPr>
          <w:rFonts w:ascii="Times New Roman" w:hAnsi="Times New Roman"/>
          <w:sz w:val="24"/>
          <w:szCs w:val="24"/>
          <w:lang w:val="sq-AL"/>
        </w:rPr>
        <w:t>sporadik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nuk u evidentuan raste t</w:t>
      </w:r>
      <w:r w:rsidR="00FF202C" w:rsidRPr="00382FFE">
        <w:rPr>
          <w:rFonts w:ascii="Times New Roman" w:hAnsi="Times New Roman"/>
          <w:sz w:val="24"/>
          <w:szCs w:val="24"/>
          <w:lang w:val="sq-AL"/>
        </w:rPr>
        <w:t>ë tjera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3FAB3412" w14:textId="77777777" w:rsidR="005F1B5D" w:rsidRPr="00382FFE" w:rsidRDefault="005F1B5D" w:rsidP="00EA1FA7">
      <w:pPr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72FCB37F" w14:textId="77777777" w:rsidR="00D14229" w:rsidRPr="00382FFE" w:rsidRDefault="00D14229" w:rsidP="007A73E7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45B9F36" w14:textId="06564C30" w:rsidR="001314B5" w:rsidRPr="00382FFE" w:rsidRDefault="009501B1" w:rsidP="006750FB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>S</w:t>
      </w:r>
      <w:r w:rsidR="00690D5A" w:rsidRPr="00382FFE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>mundje seksu</w:t>
      </w:r>
      <w:r w:rsidR="00BE3157" w:rsidRPr="00382FFE">
        <w:rPr>
          <w:rFonts w:asciiTheme="majorBidi" w:hAnsiTheme="majorBidi" w:cstheme="majorBidi"/>
          <w:b/>
          <w:sz w:val="24"/>
          <w:szCs w:val="24"/>
          <w:lang w:val="sq-AL"/>
        </w:rPr>
        <w:t>a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>lisht t</w:t>
      </w:r>
      <w:r w:rsidR="00690D5A" w:rsidRPr="00382FFE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transmetueshme dhe </w:t>
      </w:r>
      <w:r w:rsidR="00A00B75" w:rsidRPr="00382FFE">
        <w:rPr>
          <w:rFonts w:asciiTheme="majorBidi" w:hAnsiTheme="majorBidi" w:cstheme="majorBidi"/>
          <w:b/>
          <w:sz w:val="24"/>
          <w:szCs w:val="24"/>
          <w:lang w:val="sq-AL"/>
        </w:rPr>
        <w:t>HIV/AIDS</w:t>
      </w:r>
    </w:p>
    <w:p w14:paraId="62055495" w14:textId="77777777" w:rsidR="006750FB" w:rsidRPr="00382FFE" w:rsidRDefault="006750FB" w:rsidP="006750FB">
      <w:pPr>
        <w:pStyle w:val="ListParagraph"/>
        <w:spacing w:after="0"/>
        <w:ind w:left="45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5A66CC20" w14:textId="018E8CD9" w:rsidR="006750FB" w:rsidRPr="00382FFE" w:rsidRDefault="006750FB" w:rsidP="006750FB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Gjatë muajit </w:t>
      </w:r>
      <w:r w:rsidR="0022769F" w:rsidRPr="00382FFE">
        <w:rPr>
          <w:rFonts w:ascii="Times New Roman" w:hAnsi="Times New Roman"/>
          <w:sz w:val="24"/>
          <w:szCs w:val="24"/>
          <w:lang w:val="sq-AL"/>
        </w:rPr>
        <w:t>g</w:t>
      </w:r>
      <w:r w:rsidRPr="00382FFE">
        <w:rPr>
          <w:rFonts w:ascii="Times New Roman" w:hAnsi="Times New Roman"/>
          <w:sz w:val="24"/>
          <w:szCs w:val="24"/>
          <w:lang w:val="sq-AL"/>
        </w:rPr>
        <w:t>usht 2025 janë kryer 28 ekzaminime</w:t>
      </w:r>
      <w:r w:rsidR="0022769F" w:rsidRPr="00382FFE">
        <w:rPr>
          <w:rFonts w:ascii="Times New Roman" w:hAnsi="Times New Roman"/>
          <w:sz w:val="24"/>
          <w:szCs w:val="24"/>
          <w:lang w:val="sq-AL"/>
        </w:rPr>
        <w:t xml:space="preserve"> për HIV (</w:t>
      </w:r>
      <w:r w:rsidRPr="00382FFE">
        <w:rPr>
          <w:rFonts w:ascii="Times New Roman" w:hAnsi="Times New Roman"/>
          <w:sz w:val="24"/>
          <w:szCs w:val="24"/>
          <w:lang w:val="sq-AL"/>
        </w:rPr>
        <w:t>17 meshkuj dhe 11 femra) prej të cilëve</w:t>
      </w:r>
      <w:r w:rsidR="001743C4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14 raste (10 meshkuj dhe 4 femr</w:t>
      </w:r>
      <w:r w:rsidR="0022769F" w:rsidRPr="00382FFE">
        <w:rPr>
          <w:rFonts w:ascii="Times New Roman" w:hAnsi="Times New Roman"/>
          <w:sz w:val="24"/>
          <w:szCs w:val="24"/>
          <w:lang w:val="sq-AL"/>
        </w:rPr>
        <w:t>a) kanë rezultuar HIV pozitiv (g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rafiku </w:t>
      </w:r>
      <w:r w:rsidR="00304E54">
        <w:rPr>
          <w:rFonts w:ascii="Times New Roman" w:hAnsi="Times New Roman"/>
          <w:sz w:val="24"/>
          <w:szCs w:val="24"/>
          <w:lang w:val="sq-AL"/>
        </w:rPr>
        <w:t>3</w:t>
      </w:r>
      <w:r w:rsidRPr="00382FFE">
        <w:rPr>
          <w:rFonts w:ascii="Times New Roman" w:hAnsi="Times New Roman"/>
          <w:sz w:val="24"/>
          <w:szCs w:val="24"/>
          <w:lang w:val="sq-AL"/>
        </w:rPr>
        <w:t>).</w:t>
      </w:r>
    </w:p>
    <w:p w14:paraId="34B1C762" w14:textId="69354D30" w:rsidR="006750FB" w:rsidRPr="00382FFE" w:rsidRDefault="0022769F" w:rsidP="00D42DDC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Grafiku </w:t>
      </w:r>
      <w:r w:rsidR="00304E54">
        <w:rPr>
          <w:rFonts w:ascii="Times New Roman" w:hAnsi="Times New Roman"/>
          <w:b/>
          <w:bCs/>
          <w:sz w:val="24"/>
          <w:szCs w:val="24"/>
          <w:lang w:val="sq-AL"/>
        </w:rPr>
        <w:t>3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6750FB"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>Shpërndarja e testimeve për HIV</w:t>
      </w:r>
      <w:r w:rsidR="006750FB"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dhe rasteve të konfi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>rmuara sipas gjinisë në muajin g</w:t>
      </w:r>
      <w:r w:rsidR="00D42DDC">
        <w:rPr>
          <w:rFonts w:ascii="Times New Roman" w:hAnsi="Times New Roman"/>
          <w:b/>
          <w:bCs/>
          <w:sz w:val="24"/>
          <w:szCs w:val="24"/>
          <w:lang w:val="sq-AL"/>
        </w:rPr>
        <w:t>usht 2025</w:t>
      </w:r>
    </w:p>
    <w:p w14:paraId="233AD9B0" w14:textId="77777777" w:rsidR="006750FB" w:rsidRPr="00382FFE" w:rsidRDefault="006750FB" w:rsidP="006750FB">
      <w:pPr>
        <w:spacing w:line="36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noProof/>
        </w:rPr>
        <w:lastRenderedPageBreak/>
        <w:drawing>
          <wp:inline distT="0" distB="0" distL="0" distR="0" wp14:anchorId="3CB5D0DF" wp14:editId="261ADA8C">
            <wp:extent cx="5303520" cy="2867025"/>
            <wp:effectExtent l="0" t="0" r="11430" b="9525"/>
            <wp:docPr id="1516251615" name="Chart 1516251615">
              <a:extLst xmlns:a="http://schemas.openxmlformats.org/drawingml/2006/main">
                <a:ext uri="{FF2B5EF4-FFF2-40B4-BE49-F238E27FC236}">
                  <a16:creationId xmlns:a16="http://schemas.microsoft.com/office/drawing/2014/main" id="{24DC088D-9662-459E-980B-183C961D9F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BDFBAC" w14:textId="514C0CFC" w:rsidR="006750FB" w:rsidRPr="00382FFE" w:rsidRDefault="006750FB" w:rsidP="00F17D7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Shpërndarja gjeografike e rasteve që kanë rezultu</w:t>
      </w:r>
      <w:r w:rsidR="001743C4" w:rsidRPr="00382FFE">
        <w:rPr>
          <w:rFonts w:ascii="Times New Roman" w:hAnsi="Times New Roman"/>
          <w:sz w:val="24"/>
          <w:szCs w:val="24"/>
          <w:lang w:val="sq-AL"/>
        </w:rPr>
        <w:t>ar HIV pozitiv</w:t>
      </w:r>
      <w:r w:rsidR="0022769F" w:rsidRPr="00382FFE">
        <w:rPr>
          <w:rFonts w:ascii="Times New Roman" w:hAnsi="Times New Roman"/>
          <w:sz w:val="24"/>
          <w:szCs w:val="24"/>
          <w:lang w:val="sq-AL"/>
        </w:rPr>
        <w:t xml:space="preserve"> është</w:t>
      </w:r>
      <w:r w:rsidRPr="00382FFE">
        <w:rPr>
          <w:rFonts w:ascii="Times New Roman" w:hAnsi="Times New Roman"/>
          <w:sz w:val="24"/>
          <w:szCs w:val="24"/>
          <w:lang w:val="sq-AL"/>
        </w:rPr>
        <w:t>: 1 rast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>Elbasan,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1 rast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Lezh</w:t>
      </w:r>
      <w:r w:rsidRPr="00382FFE">
        <w:rPr>
          <w:rFonts w:ascii="Times New Roman" w:hAnsi="Times New Roman"/>
          <w:sz w:val="24"/>
          <w:szCs w:val="24"/>
          <w:lang w:val="sq-AL"/>
        </w:rPr>
        <w:t>ë, 3 raste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Kavaj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, 1 rast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Shkod</w:t>
      </w:r>
      <w:r w:rsidRPr="00382FFE">
        <w:rPr>
          <w:rFonts w:ascii="Times New Roman" w:hAnsi="Times New Roman"/>
          <w:sz w:val="24"/>
          <w:szCs w:val="24"/>
          <w:lang w:val="sq-AL"/>
        </w:rPr>
        <w:t>ër dhe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 xml:space="preserve"> 8 raste </w:t>
      </w:r>
      <w:r w:rsidRPr="00382FFE">
        <w:rPr>
          <w:rFonts w:ascii="Times New Roman" w:hAnsi="Times New Roman"/>
          <w:sz w:val="24"/>
          <w:szCs w:val="24"/>
          <w:lang w:val="sq-AL"/>
        </w:rPr>
        <w:t>Tiranë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(nga t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 xml:space="preserve"> cil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t 2 raste jan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 xml:space="preserve"> me shtet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>si t</w:t>
      </w:r>
      <w:r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Cs/>
          <w:sz w:val="24"/>
          <w:szCs w:val="24"/>
          <w:lang w:val="sq-AL"/>
        </w:rPr>
        <w:t xml:space="preserve"> huaj)</w:t>
      </w:r>
      <w:r w:rsidR="0022769F" w:rsidRPr="00382FFE">
        <w:rPr>
          <w:rFonts w:ascii="Times New Roman" w:hAnsi="Times New Roman"/>
          <w:sz w:val="24"/>
          <w:szCs w:val="24"/>
          <w:lang w:val="sq-AL"/>
        </w:rPr>
        <w:t xml:space="preserve"> g</w:t>
      </w:r>
      <w:r w:rsidR="00304E54">
        <w:rPr>
          <w:rFonts w:ascii="Times New Roman" w:hAnsi="Times New Roman"/>
          <w:sz w:val="24"/>
          <w:szCs w:val="24"/>
          <w:lang w:val="sq-AL"/>
        </w:rPr>
        <w:t>rafiku 4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4A6CBAF1" w14:textId="01ECBE44" w:rsidR="006750FB" w:rsidRPr="00382FFE" w:rsidRDefault="00304E54" w:rsidP="0022769F">
      <w:pPr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Grafiku 4</w:t>
      </w:r>
      <w:r w:rsidR="006750FB" w:rsidRPr="00382FFE">
        <w:rPr>
          <w:rFonts w:ascii="Times New Roman" w:hAnsi="Times New Roman"/>
          <w:b/>
          <w:bCs/>
          <w:sz w:val="24"/>
          <w:szCs w:val="24"/>
          <w:lang w:val="sq-AL"/>
        </w:rPr>
        <w:t>. Shpërndarja gjeografike e rasteve t</w:t>
      </w:r>
      <w:r w:rsidR="0022769F" w:rsidRPr="00382FFE">
        <w:rPr>
          <w:rFonts w:ascii="Times New Roman" w:hAnsi="Times New Roman"/>
          <w:b/>
          <w:bCs/>
          <w:sz w:val="24"/>
          <w:szCs w:val="24"/>
          <w:lang w:val="sq-AL"/>
        </w:rPr>
        <w:t>ë konfirmuara në muajin g</w:t>
      </w:r>
      <w:r w:rsidR="006750FB" w:rsidRPr="00382FFE">
        <w:rPr>
          <w:rFonts w:ascii="Times New Roman" w:hAnsi="Times New Roman"/>
          <w:b/>
          <w:bCs/>
          <w:sz w:val="24"/>
          <w:szCs w:val="24"/>
          <w:lang w:val="sq-AL"/>
        </w:rPr>
        <w:t>usht 2025</w:t>
      </w:r>
    </w:p>
    <w:p w14:paraId="3D7019C8" w14:textId="085A3FB1" w:rsidR="006750FB" w:rsidRPr="00382FFE" w:rsidRDefault="006750FB" w:rsidP="00EE327C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sq-AL"/>
        </w:rPr>
      </w:pPr>
      <w:r w:rsidRPr="00382FFE">
        <w:rPr>
          <w:noProof/>
        </w:rPr>
        <w:drawing>
          <wp:inline distT="0" distB="0" distL="0" distR="0" wp14:anchorId="6F3EF709" wp14:editId="5D980DBA">
            <wp:extent cx="5486400" cy="2468880"/>
            <wp:effectExtent l="0" t="0" r="0" b="762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9B110787-4278-4906-8F11-D57746ABFE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99E912" w14:textId="7F9C8C13" w:rsidR="006750FB" w:rsidRPr="00382FFE" w:rsidRDefault="006750FB" w:rsidP="0022769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Për sa i përket shpërndarjes sipas grup-moshave: 1 rast i përket grup-moshës 16-24 vjeç,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1 rast i përket grup-moshës 25-34 vjeç, 1 rast i përket grup-moshës 35-44 vjeç, 4 raste i përkasin grup-moshës 45-54 vjeç dhe 7 raste i përkasin grup-moshës 55-64 vjeç. </w:t>
      </w:r>
    </w:p>
    <w:p w14:paraId="7B8F2217" w14:textId="052E1C0F" w:rsidR="006750FB" w:rsidRPr="00382FFE" w:rsidRDefault="006750FB" w:rsidP="002C762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Rastet e konfirmuara </w:t>
      </w:r>
      <w:r w:rsidR="002C762F" w:rsidRPr="00382FFE">
        <w:rPr>
          <w:rFonts w:ascii="Times New Roman" w:hAnsi="Times New Roman"/>
          <w:sz w:val="24"/>
          <w:szCs w:val="24"/>
          <w:lang w:val="sq-AL"/>
        </w:rPr>
        <w:t>janë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4 raste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 xml:space="preserve"> nga QSUT (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3 raste nga </w:t>
      </w:r>
      <w:r w:rsidR="002C762F" w:rsidRPr="00382FFE">
        <w:rPr>
          <w:rFonts w:ascii="Times New Roman" w:hAnsi="Times New Roman"/>
          <w:sz w:val="24"/>
          <w:szCs w:val="24"/>
          <w:lang w:val="sq-AL"/>
        </w:rPr>
        <w:t>shërbimi i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nfektiv dhe 1 rast nga </w:t>
      </w:r>
      <w:r w:rsidR="00F40E0B" w:rsidRPr="00382FFE">
        <w:rPr>
          <w:rFonts w:ascii="Times New Roman" w:hAnsi="Times New Roman"/>
          <w:sz w:val="24"/>
          <w:szCs w:val="24"/>
          <w:lang w:val="sq-AL"/>
        </w:rPr>
        <w:t>s</w:t>
      </w:r>
      <w:r w:rsidRPr="00382FFE">
        <w:rPr>
          <w:rFonts w:ascii="Times New Roman" w:hAnsi="Times New Roman"/>
          <w:sz w:val="24"/>
          <w:szCs w:val="24"/>
          <w:lang w:val="sq-AL"/>
        </w:rPr>
        <w:t>hërbimi</w:t>
      </w:r>
      <w:r w:rsidR="00F40E0B" w:rsidRPr="00382FFE">
        <w:rPr>
          <w:rFonts w:ascii="Times New Roman" w:hAnsi="Times New Roman"/>
          <w:sz w:val="24"/>
          <w:szCs w:val="24"/>
          <w:lang w:val="sq-AL"/>
        </w:rPr>
        <w:t xml:space="preserve"> i h</w:t>
      </w:r>
      <w:r w:rsidRPr="00382FFE">
        <w:rPr>
          <w:rFonts w:ascii="Times New Roman" w:hAnsi="Times New Roman"/>
          <w:sz w:val="24"/>
          <w:szCs w:val="24"/>
          <w:lang w:val="sq-AL"/>
        </w:rPr>
        <w:t>ematologjisë), 5 raste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>vijnë nga laboratorë/spitale private (3 raste Genius, 1 rast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>CAMBRIDGE dhe 1 rast</w:t>
      </w: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>Intermedica ), 3 raste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vijnë nga </w:t>
      </w:r>
      <w:r w:rsidR="002C762F" w:rsidRPr="00382FFE">
        <w:rPr>
          <w:rFonts w:ascii="Times New Roman" w:hAnsi="Times New Roman"/>
          <w:sz w:val="24"/>
          <w:szCs w:val="24"/>
          <w:lang w:val="sq-AL"/>
        </w:rPr>
        <w:t>k</w:t>
      </w:r>
      <w:r w:rsidRPr="00382FFE">
        <w:rPr>
          <w:rFonts w:ascii="Times New Roman" w:hAnsi="Times New Roman"/>
          <w:sz w:val="24"/>
          <w:szCs w:val="24"/>
          <w:lang w:val="sq-AL"/>
        </w:rPr>
        <w:t>linik</w:t>
      </w:r>
      <w:r w:rsidR="002C762F" w:rsidRPr="00382FFE">
        <w:rPr>
          <w:rFonts w:ascii="Times New Roman" w:hAnsi="Times New Roman"/>
          <w:sz w:val="24"/>
          <w:szCs w:val="24"/>
          <w:lang w:val="sq-AL"/>
        </w:rPr>
        <w:t>a ambulatore i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>nfektiv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, 1 rast referuar si donator gjaku nga QKTGJ dhe 1 rast nga DSHP Tiranë. </w:t>
      </w:r>
    </w:p>
    <w:p w14:paraId="66758F43" w14:textId="77777777" w:rsidR="00F06B00" w:rsidRPr="00382FFE" w:rsidRDefault="00F06B00" w:rsidP="00F06B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4C2A9FB" w14:textId="7B4FE742" w:rsidR="00E03DC6" w:rsidRPr="00382FFE" w:rsidRDefault="00F06B00" w:rsidP="0010043D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382FFE">
        <w:rPr>
          <w:rFonts w:ascii="Times New Roman" w:hAnsi="Times New Roman"/>
          <w:b/>
          <w:bCs/>
          <w:sz w:val="24"/>
          <w:szCs w:val="24"/>
          <w:lang w:val="sq-AL"/>
        </w:rPr>
        <w:t>Sifiliz g</w:t>
      </w:r>
      <w:r w:rsidR="00E03DC6" w:rsidRPr="00382FFE">
        <w:rPr>
          <w:rFonts w:ascii="Times New Roman" w:hAnsi="Times New Roman"/>
          <w:b/>
          <w:bCs/>
          <w:sz w:val="24"/>
          <w:szCs w:val="24"/>
          <w:lang w:val="sq-AL"/>
        </w:rPr>
        <w:t>usht 2025</w:t>
      </w:r>
    </w:p>
    <w:p w14:paraId="6B0009F4" w14:textId="77777777" w:rsidR="00E03DC6" w:rsidRPr="00382FFE" w:rsidRDefault="00E03DC6" w:rsidP="0010043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Gjatë muajit gusht 2025 janë raportuar në Sistemin e Informacionit të Sëmundjeve Infektive 7 raste të konfirmuara me Sifiliz. </w:t>
      </w:r>
    </w:p>
    <w:p w14:paraId="7B8AB492" w14:textId="365007BA" w:rsidR="00E03DC6" w:rsidRPr="00382FFE" w:rsidRDefault="00E03DC6" w:rsidP="00385B2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Rastet e raportuara, 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>të konfirmuara, janë 6 meshkuj dhe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1 femër. Shpërndarja sipas grup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moshave është nga 2 raste për grup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moshë 15-24 vje</w:t>
      </w:r>
      <w:r w:rsidR="00F06B00" w:rsidRPr="00382FFE">
        <w:rPr>
          <w:rFonts w:ascii="Times New Roman" w:hAnsi="Times New Roman"/>
          <w:sz w:val="24"/>
          <w:szCs w:val="24"/>
          <w:lang w:val="sq-AL"/>
        </w:rPr>
        <w:t>ç, 25-34 vjeç dhe 35-44 vjeç</w:t>
      </w:r>
      <w:r w:rsidR="00F40E0B" w:rsidRPr="00382FFE">
        <w:rPr>
          <w:rFonts w:ascii="Times New Roman" w:hAnsi="Times New Roman"/>
          <w:sz w:val="24"/>
          <w:szCs w:val="24"/>
          <w:lang w:val="sq-AL"/>
        </w:rPr>
        <w:t>, si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në grup</w:t>
      </w:r>
      <w:r w:rsidR="00385B20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moshën mbi 75 vje</w:t>
      </w:r>
      <w:r w:rsidR="00385B20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është një rast.</w:t>
      </w:r>
    </w:p>
    <w:p w14:paraId="2A18F24D" w14:textId="27D3515D" w:rsidR="00170953" w:rsidRPr="00382FFE" w:rsidRDefault="00E03DC6" w:rsidP="0010043D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Rastet vijnë nga bashkitë: Pogradec, Vlorë dhe Tiranë.</w:t>
      </w:r>
    </w:p>
    <w:p w14:paraId="1692A667" w14:textId="2170A4D0" w:rsidR="00170953" w:rsidRDefault="00170953" w:rsidP="0097475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603A10B5" w14:textId="20111202" w:rsidR="002E43F6" w:rsidRDefault="002E43F6" w:rsidP="0097475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49EC9A03" w14:textId="77777777" w:rsidR="002E43F6" w:rsidRPr="00382FFE" w:rsidRDefault="002E43F6" w:rsidP="0097475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218EB32F" w14:textId="673FEFD2" w:rsidR="0082047D" w:rsidRPr="00382FFE" w:rsidRDefault="001641A7" w:rsidP="0082047D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Tuberkulozi pulmonar</w:t>
      </w:r>
      <w:r w:rsidR="004F100D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dhe ekstrapulmonar</w:t>
      </w:r>
    </w:p>
    <w:p w14:paraId="08ED8922" w14:textId="77777777" w:rsidR="00A44656" w:rsidRPr="00382FFE" w:rsidRDefault="00A44656" w:rsidP="00A44656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4A83A3EF" w14:textId="66AD350A" w:rsidR="00170953" w:rsidRPr="00382FFE" w:rsidRDefault="00170953" w:rsidP="001004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Gjatë muajit </w:t>
      </w:r>
      <w:r w:rsidR="00385B20" w:rsidRPr="00382FFE">
        <w:rPr>
          <w:rFonts w:asciiTheme="majorBidi" w:hAnsiTheme="majorBidi" w:cstheme="majorBidi"/>
          <w:sz w:val="24"/>
          <w:szCs w:val="24"/>
          <w:lang w:val="sq-AL"/>
        </w:rPr>
        <w:t>g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>usht 2025</w:t>
      </w:r>
      <w:r w:rsidR="00385B20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janë raportuar gjith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sej </w:t>
      </w:r>
      <w:r w:rsidRPr="00382FFE">
        <w:rPr>
          <w:rFonts w:asciiTheme="majorBidi" w:hAnsiTheme="majorBidi" w:cstheme="majorBidi"/>
          <w:color w:val="auto"/>
          <w:sz w:val="24"/>
          <w:szCs w:val="24"/>
          <w:lang w:val="sq-AL"/>
        </w:rPr>
        <w:t xml:space="preserve">17 raste 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>me turbekuloz (TB), nga të cilat 15 raste janë pulmonar dhe 2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raste janë ekstrapulmonar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. </w:t>
      </w:r>
    </w:p>
    <w:p w14:paraId="3734D5D3" w14:textId="5EC658F8" w:rsidR="00170953" w:rsidRPr="00382FFE" w:rsidRDefault="00170953" w:rsidP="001004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Rastet e raportuara me TB pulmonar janë të konfirmuara pozitiv. </w:t>
      </w:r>
    </w:p>
    <w:p w14:paraId="00FBDCDE" w14:textId="77777777" w:rsidR="00170953" w:rsidRPr="00382FFE" w:rsidRDefault="00170953" w:rsidP="001004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>Rastet pulmonare përkatësisht janë: 5 në Tiranë, 2 në Vlorë, 1 në Lushnje, 1 në Shkodër, 3 në Kukës dhe 3 në Durrës (total 15).</w:t>
      </w:r>
    </w:p>
    <w:p w14:paraId="5954E2A0" w14:textId="0AB0AEF3" w:rsidR="00170953" w:rsidRPr="00382FFE" w:rsidRDefault="00170953" w:rsidP="001004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>Rastet ekstrapulmonare përkatësisht janë: 1 në Tiranë dhe 1 në Durrës.(total 2)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>.</w:t>
      </w:r>
    </w:p>
    <w:p w14:paraId="2886F3E3" w14:textId="77777777" w:rsidR="00170953" w:rsidRPr="00382FFE" w:rsidRDefault="00170953" w:rsidP="001004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>Këtë muaj kemi dhe 3 raste recidiv, përkatësisht: 2 raste në Vlorë dhe 1 rast në Durrës.</w:t>
      </w:r>
    </w:p>
    <w:p w14:paraId="5FA97F59" w14:textId="44E30751" w:rsidR="00B63DF8" w:rsidRPr="00382FFE" w:rsidRDefault="00170953" w:rsidP="00282A8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Konfirmimet e tyre janë kryer në Laboratorin e Referencës të rekomanduara nga dispanseria e rrethit përkatës. Për të gjitha rastet janë lajmëruar dispanseritë përkatëse për të komunikuar me familjarët e tyre, si dhe për të kryer kontrollin në vatër bazuar në të gjitha ekzaminimet për depistimin e tyre. Pothuajse të gjithë pacientët kanë filluar mjekimin sipas skemës përkatëse. Siç vihet re dhe nga shpërndarja e rasteve, </w:t>
      </w:r>
      <w:r w:rsidR="00417401" w:rsidRPr="00382FFE">
        <w:rPr>
          <w:rFonts w:asciiTheme="majorBidi" w:hAnsiTheme="majorBidi" w:cstheme="majorBidi"/>
          <w:sz w:val="24"/>
          <w:szCs w:val="24"/>
          <w:lang w:val="sq-AL"/>
        </w:rPr>
        <w:t>num</w:t>
      </w:r>
      <w:r w:rsidR="00282A86" w:rsidRPr="00382FFE">
        <w:rPr>
          <w:rFonts w:asciiTheme="majorBidi" w:hAnsiTheme="majorBidi" w:cstheme="majorBidi"/>
          <w:sz w:val="24"/>
          <w:szCs w:val="24"/>
          <w:lang w:val="sq-AL"/>
        </w:rPr>
        <w:t xml:space="preserve">ri </w:t>
      </w:r>
      <w:r w:rsidR="00417401" w:rsidRPr="00382FFE">
        <w:rPr>
          <w:rFonts w:asciiTheme="majorBidi" w:hAnsiTheme="majorBidi" w:cstheme="majorBidi"/>
          <w:sz w:val="24"/>
          <w:szCs w:val="24"/>
          <w:lang w:val="sq-AL"/>
        </w:rPr>
        <w:t xml:space="preserve">më </w:t>
      </w:r>
      <w:r w:rsidR="00282A86" w:rsidRPr="00382FFE">
        <w:rPr>
          <w:rFonts w:asciiTheme="majorBidi" w:hAnsiTheme="majorBidi" w:cstheme="majorBidi"/>
          <w:sz w:val="24"/>
          <w:szCs w:val="24"/>
          <w:lang w:val="sq-AL"/>
        </w:rPr>
        <w:t>i</w:t>
      </w:r>
      <w:r w:rsidR="00417401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madh </w:t>
      </w:r>
      <w:r w:rsidR="00282A86" w:rsidRPr="00382FFE">
        <w:rPr>
          <w:rFonts w:asciiTheme="majorBidi" w:hAnsiTheme="majorBidi" w:cstheme="majorBidi"/>
          <w:sz w:val="24"/>
          <w:szCs w:val="24"/>
          <w:lang w:val="sq-AL"/>
        </w:rPr>
        <w:t xml:space="preserve">i tyre </w:t>
      </w:r>
      <w:r w:rsidR="00417401" w:rsidRPr="00382FFE">
        <w:rPr>
          <w:rFonts w:asciiTheme="majorBidi" w:hAnsiTheme="majorBidi" w:cstheme="majorBidi"/>
          <w:sz w:val="24"/>
          <w:szCs w:val="24"/>
          <w:lang w:val="sq-AL"/>
        </w:rPr>
        <w:t xml:space="preserve">me 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TB </w:t>
      </w:r>
      <w:r w:rsidR="00282A86" w:rsidRPr="00382FFE">
        <w:rPr>
          <w:rFonts w:asciiTheme="majorBidi" w:hAnsiTheme="majorBidi" w:cstheme="majorBidi"/>
          <w:sz w:val="24"/>
          <w:szCs w:val="24"/>
          <w:lang w:val="sq-AL"/>
        </w:rPr>
        <w:t>ësht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>ë fokusuar kryesisht në Tiranë</w:t>
      </w:r>
      <w:r w:rsidR="00417401" w:rsidRPr="00382FFE">
        <w:rPr>
          <w:rFonts w:asciiTheme="majorBidi" w:hAnsiTheme="majorBidi" w:cstheme="majorBidi"/>
          <w:sz w:val="24"/>
          <w:szCs w:val="24"/>
          <w:lang w:val="sq-AL"/>
        </w:rPr>
        <w:t>.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</w:p>
    <w:p w14:paraId="28B07261" w14:textId="77777777" w:rsidR="006C53B4" w:rsidRPr="00382FFE" w:rsidRDefault="006C53B4" w:rsidP="006C53B4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C62B93B" w14:textId="76CDFE31" w:rsidR="004E36C8" w:rsidRPr="00382FFE" w:rsidRDefault="00DA166D" w:rsidP="00504E55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Sëmundjet zoonotike</w:t>
      </w:r>
    </w:p>
    <w:p w14:paraId="6A69DB59" w14:textId="70269632" w:rsidR="00535FC1" w:rsidRPr="00382FFE" w:rsidRDefault="00535FC1" w:rsidP="00C66293">
      <w:pPr>
        <w:pStyle w:val="ListParagraph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4908B169" w14:textId="48ED085A" w:rsidR="003A19F2" w:rsidRPr="00382FFE" w:rsidRDefault="007A2699" w:rsidP="007237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Tabela </w:t>
      </w:r>
      <w:r w:rsidR="00304E54">
        <w:rPr>
          <w:rFonts w:asciiTheme="majorBidi" w:hAnsiTheme="majorBidi" w:cstheme="majorBidi"/>
          <w:b/>
          <w:sz w:val="24"/>
          <w:szCs w:val="24"/>
          <w:lang w:val="sq-AL"/>
        </w:rPr>
        <w:t>2</w:t>
      </w:r>
      <w:r w:rsidR="005F7CF8" w:rsidRPr="00382FFE">
        <w:rPr>
          <w:rFonts w:asciiTheme="majorBidi" w:hAnsiTheme="majorBidi" w:cstheme="majorBidi"/>
          <w:b/>
          <w:sz w:val="24"/>
          <w:szCs w:val="24"/>
          <w:lang w:val="sq-AL"/>
        </w:rPr>
        <w:t>.</w:t>
      </w:r>
      <w:r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DA166D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Shpërndarja e zoonozave në muajin </w:t>
      </w:r>
      <w:r w:rsidR="006C53B4" w:rsidRPr="00382FFE">
        <w:rPr>
          <w:rFonts w:asciiTheme="majorBidi" w:hAnsiTheme="majorBidi" w:cstheme="majorBidi"/>
          <w:b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b/>
          <w:sz w:val="24"/>
          <w:szCs w:val="24"/>
          <w:lang w:val="sq-AL"/>
        </w:rPr>
        <w:t>usht</w:t>
      </w:r>
      <w:r w:rsidR="00AF3B58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8E6F04" w:rsidRPr="00382FFE">
        <w:rPr>
          <w:rFonts w:asciiTheme="majorBidi" w:hAnsiTheme="majorBidi" w:cstheme="majorBidi"/>
          <w:b/>
          <w:sz w:val="24"/>
          <w:szCs w:val="24"/>
          <w:lang w:val="sq-AL"/>
        </w:rPr>
        <w:t>2025</w:t>
      </w:r>
      <w:r w:rsidR="00DA166D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, numri total i rasteve </w:t>
      </w:r>
      <w:r w:rsidR="00890EDE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dhe </w:t>
      </w:r>
      <w:r w:rsidR="00075752" w:rsidRPr="00382FFE">
        <w:rPr>
          <w:rFonts w:asciiTheme="majorBidi" w:hAnsiTheme="majorBidi" w:cstheme="majorBidi"/>
          <w:b/>
          <w:sz w:val="24"/>
          <w:szCs w:val="24"/>
          <w:lang w:val="sq-AL"/>
        </w:rPr>
        <w:t>incidenca (Antraks</w:t>
      </w:r>
      <w:r w:rsidR="00664181" w:rsidRPr="00382FFE">
        <w:rPr>
          <w:rFonts w:asciiTheme="majorBidi" w:hAnsiTheme="majorBidi" w:cstheme="majorBidi"/>
          <w:b/>
          <w:sz w:val="24"/>
          <w:szCs w:val="24"/>
          <w:lang w:val="sq-AL"/>
        </w:rPr>
        <w:t>,</w:t>
      </w:r>
      <w:r w:rsidR="00075752" w:rsidRPr="00382FFE">
        <w:rPr>
          <w:rFonts w:asciiTheme="majorBidi" w:hAnsiTheme="majorBidi" w:cstheme="majorBidi"/>
          <w:b/>
          <w:sz w:val="24"/>
          <w:szCs w:val="24"/>
          <w:lang w:val="sq-AL"/>
        </w:rPr>
        <w:t xml:space="preserve"> Brucelozë</w:t>
      </w:r>
      <w:r w:rsidR="0025587A" w:rsidRPr="00382FFE">
        <w:rPr>
          <w:rFonts w:asciiTheme="majorBidi" w:hAnsiTheme="majorBidi" w:cstheme="majorBidi"/>
          <w:b/>
          <w:sz w:val="24"/>
          <w:szCs w:val="24"/>
          <w:lang w:val="sq-AL"/>
        </w:rPr>
        <w:t>, Leptospirozë, Rikeci</w:t>
      </w:r>
      <w:r w:rsidR="003D67A2" w:rsidRPr="00382FFE">
        <w:rPr>
          <w:rFonts w:asciiTheme="majorBidi" w:hAnsiTheme="majorBidi" w:cstheme="majorBidi"/>
          <w:b/>
          <w:sz w:val="24"/>
          <w:szCs w:val="24"/>
          <w:lang w:val="sq-AL"/>
        </w:rPr>
        <w:t>oz</w:t>
      </w:r>
      <w:r w:rsidR="006311DE" w:rsidRPr="00382FFE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="0025587A" w:rsidRPr="00382FFE">
        <w:rPr>
          <w:rFonts w:asciiTheme="majorBidi" w:hAnsiTheme="majorBidi" w:cstheme="majorBidi"/>
          <w:b/>
          <w:sz w:val="24"/>
          <w:szCs w:val="24"/>
          <w:lang w:val="sq-AL"/>
        </w:rPr>
        <w:t>)</w:t>
      </w:r>
    </w:p>
    <w:tbl>
      <w:tblPr>
        <w:tblW w:w="7904" w:type="dxa"/>
        <w:tblInd w:w="373" w:type="dxa"/>
        <w:tblLayout w:type="fixed"/>
        <w:tblLook w:val="04A0" w:firstRow="1" w:lastRow="0" w:firstColumn="1" w:lastColumn="0" w:noHBand="0" w:noVBand="1"/>
      </w:tblPr>
      <w:tblGrid>
        <w:gridCol w:w="246"/>
        <w:gridCol w:w="1732"/>
        <w:gridCol w:w="2314"/>
        <w:gridCol w:w="3075"/>
        <w:gridCol w:w="537"/>
      </w:tblGrid>
      <w:tr w:rsidR="00DA166D" w:rsidRPr="00382FFE" w14:paraId="2FB999FA" w14:textId="77777777" w:rsidTr="00B45AA9">
        <w:trPr>
          <w:gridAfter w:val="1"/>
          <w:wAfter w:w="537" w:type="dxa"/>
          <w:trHeight w:val="456"/>
        </w:trPr>
        <w:tc>
          <w:tcPr>
            <w:tcW w:w="1978" w:type="dxa"/>
            <w:gridSpan w:val="2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</w:tcPr>
          <w:p w14:paraId="4E899AA7" w14:textId="77777777" w:rsidR="00DA166D" w:rsidRPr="00382FFE" w:rsidRDefault="00DA166D" w:rsidP="00FB19F9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1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  <w:hideMark/>
          </w:tcPr>
          <w:p w14:paraId="3FB321D2" w14:textId="0B469553" w:rsidR="00DA166D" w:rsidRPr="00382FFE" w:rsidRDefault="004118B5" w:rsidP="00FB19F9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Gusht</w:t>
            </w:r>
            <w:r w:rsidR="00296939" w:rsidRPr="00382FFE">
              <w:rPr>
                <w:rFonts w:asciiTheme="majorBidi" w:hAnsiTheme="majorBidi" w:cstheme="majorBidi"/>
                <w:sz w:val="22"/>
                <w:lang w:val="sq-AL"/>
              </w:rPr>
              <w:t xml:space="preserve"> </w:t>
            </w:r>
            <w:r w:rsidR="00BA64AC" w:rsidRPr="00382FFE">
              <w:rPr>
                <w:rFonts w:asciiTheme="majorBidi" w:hAnsiTheme="majorBidi" w:cstheme="majorBidi"/>
                <w:sz w:val="22"/>
                <w:lang w:val="sq-AL"/>
              </w:rPr>
              <w:t>(r</w:t>
            </w:r>
            <w:r w:rsidR="00DA166D" w:rsidRPr="00382FFE">
              <w:rPr>
                <w:rFonts w:asciiTheme="majorBidi" w:hAnsiTheme="majorBidi" w:cstheme="majorBidi"/>
                <w:sz w:val="22"/>
                <w:lang w:val="sq-AL"/>
              </w:rPr>
              <w:t xml:space="preserve">aste </w:t>
            </w:r>
            <w:r w:rsidR="008E6F04" w:rsidRPr="00382FFE">
              <w:rPr>
                <w:rFonts w:asciiTheme="majorBidi" w:hAnsiTheme="majorBidi" w:cstheme="majorBidi"/>
                <w:sz w:val="22"/>
                <w:lang w:val="sq-AL"/>
              </w:rPr>
              <w:t>2025</w:t>
            </w:r>
            <w:r w:rsidR="00FB19F9" w:rsidRPr="00382FFE">
              <w:rPr>
                <w:rFonts w:asciiTheme="majorBidi" w:hAnsiTheme="majorBidi" w:cstheme="majorBidi"/>
                <w:sz w:val="22"/>
                <w:lang w:val="sq-AL"/>
              </w:rPr>
              <w:t>)</w:t>
            </w:r>
          </w:p>
        </w:tc>
        <w:tc>
          <w:tcPr>
            <w:tcW w:w="30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  <w:hideMark/>
          </w:tcPr>
          <w:p w14:paraId="6D59F930" w14:textId="6FFEC2CC" w:rsidR="00DA166D" w:rsidRPr="00382FFE" w:rsidRDefault="003A19F2" w:rsidP="00FB19F9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Incidenca (raste/100,000)</w:t>
            </w:r>
            <w:r w:rsidR="00E237D2" w:rsidRPr="00382FFE">
              <w:rPr>
                <w:rFonts w:asciiTheme="majorBidi" w:hAnsiTheme="majorBidi" w:cstheme="majorBidi"/>
                <w:sz w:val="22"/>
                <w:lang w:val="sq-AL"/>
              </w:rPr>
              <w:t xml:space="preserve"> </w:t>
            </w:r>
            <w:r w:rsidR="008E6F04" w:rsidRPr="00382FFE">
              <w:rPr>
                <w:rFonts w:asciiTheme="majorBidi" w:hAnsiTheme="majorBidi" w:cstheme="majorBidi"/>
                <w:sz w:val="22"/>
                <w:lang w:val="sq-AL"/>
              </w:rPr>
              <w:t>2025</w:t>
            </w:r>
          </w:p>
        </w:tc>
      </w:tr>
      <w:tr w:rsidR="00DA166D" w:rsidRPr="00382FFE" w14:paraId="68600229" w14:textId="77777777" w:rsidTr="00B45AA9">
        <w:trPr>
          <w:trHeight w:val="20"/>
        </w:trPr>
        <w:tc>
          <w:tcPr>
            <w:tcW w:w="1978" w:type="dxa"/>
            <w:gridSpan w:val="2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54E941" w14:textId="77777777" w:rsidR="00DA166D" w:rsidRPr="00382FFE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854FDD" w14:textId="77777777" w:rsidR="00DA166D" w:rsidRPr="00382FFE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30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557E79" w14:textId="77777777" w:rsidR="00DA166D" w:rsidRPr="00382FFE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537" w:type="dxa"/>
            <w:vAlign w:val="center"/>
          </w:tcPr>
          <w:p w14:paraId="75E1895F" w14:textId="77777777" w:rsidR="00DA166D" w:rsidRPr="00382FFE" w:rsidRDefault="00DA166D" w:rsidP="00F8280A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504E55" w:rsidRPr="00382FFE" w14:paraId="59E8583B" w14:textId="77777777" w:rsidTr="00B45AA9">
        <w:trPr>
          <w:trHeight w:val="270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63FDA74" w14:textId="77777777" w:rsidR="00504E55" w:rsidRPr="00382FFE" w:rsidRDefault="00504E55" w:rsidP="00504E55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Antraks (Plasje)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AAC5BC6" w14:textId="735A5C91" w:rsidR="00504E55" w:rsidRPr="00382FFE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hideMark/>
          </w:tcPr>
          <w:p w14:paraId="61498748" w14:textId="70D3AC43" w:rsidR="00504E55" w:rsidRPr="00382FFE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0.00</w:t>
            </w:r>
          </w:p>
        </w:tc>
        <w:tc>
          <w:tcPr>
            <w:tcW w:w="537" w:type="dxa"/>
            <w:vAlign w:val="center"/>
          </w:tcPr>
          <w:p w14:paraId="5CD7B284" w14:textId="77777777" w:rsidR="00504E55" w:rsidRPr="00382FFE" w:rsidRDefault="00504E55" w:rsidP="00504E55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504E55" w:rsidRPr="00382FFE" w14:paraId="32625626" w14:textId="77777777" w:rsidTr="00B45AA9">
        <w:trPr>
          <w:trHeight w:val="148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18DA6F3" w14:textId="77777777" w:rsidR="00504E55" w:rsidRPr="00382FFE" w:rsidRDefault="00504E55" w:rsidP="00504E55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lastRenderedPageBreak/>
              <w:t>Brucelozë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4A981C" w14:textId="4384F3CF" w:rsidR="00504E55" w:rsidRPr="00382FFE" w:rsidRDefault="004076AD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hideMark/>
          </w:tcPr>
          <w:p w14:paraId="32BA503A" w14:textId="3B7085AA" w:rsidR="00504E55" w:rsidRPr="00382FFE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0</w:t>
            </w:r>
            <w:r w:rsidR="00677943" w:rsidRPr="00382FFE">
              <w:rPr>
                <w:rFonts w:asciiTheme="majorBidi" w:hAnsiTheme="majorBidi" w:cstheme="majorBidi"/>
                <w:sz w:val="22"/>
                <w:lang w:val="sq-AL"/>
              </w:rPr>
              <w:t>.2</w:t>
            </w:r>
            <w:r w:rsidR="00A00797" w:rsidRPr="00382FFE">
              <w:rPr>
                <w:rFonts w:asciiTheme="majorBidi" w:hAnsiTheme="majorBidi" w:cstheme="majorBidi"/>
                <w:sz w:val="22"/>
                <w:lang w:val="sq-AL"/>
              </w:rPr>
              <w:t>1</w:t>
            </w:r>
          </w:p>
        </w:tc>
        <w:tc>
          <w:tcPr>
            <w:tcW w:w="537" w:type="dxa"/>
            <w:vAlign w:val="center"/>
          </w:tcPr>
          <w:p w14:paraId="30A483D5" w14:textId="77777777" w:rsidR="00504E55" w:rsidRPr="00382FFE" w:rsidRDefault="00504E55" w:rsidP="00504E55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970448" w:rsidRPr="00382FFE" w14:paraId="3D92579B" w14:textId="77777777" w:rsidTr="00B45AA9">
        <w:trPr>
          <w:trHeight w:val="54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018FCC7F" w14:textId="77777777" w:rsidR="00970448" w:rsidRPr="00382FFE" w:rsidRDefault="00970448" w:rsidP="00970448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Leptospirozë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4A4CBB4" w14:textId="522D870F" w:rsidR="00970448" w:rsidRPr="00382FFE" w:rsidRDefault="00832D83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1276845" w14:textId="0BECF771" w:rsidR="00970448" w:rsidRPr="00382FFE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382FFE">
              <w:rPr>
                <w:rFonts w:asciiTheme="majorBidi" w:hAnsiTheme="majorBidi" w:cstheme="majorBidi"/>
                <w:sz w:val="22"/>
                <w:lang w:val="sq-AL"/>
              </w:rPr>
              <w:t>0.0</w:t>
            </w:r>
            <w:r w:rsidR="00832D83" w:rsidRPr="00382FFE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537" w:type="dxa"/>
            <w:vAlign w:val="center"/>
          </w:tcPr>
          <w:p w14:paraId="1FD80707" w14:textId="77777777" w:rsidR="00970448" w:rsidRPr="00382FFE" w:rsidRDefault="00970448" w:rsidP="00970448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4E36C8" w:rsidRPr="00382FFE" w14:paraId="1264FCEB" w14:textId="77777777" w:rsidTr="006A2356">
        <w:trPr>
          <w:gridAfter w:val="4"/>
          <w:wAfter w:w="7658" w:type="dxa"/>
          <w:trHeight w:val="151"/>
        </w:trPr>
        <w:tc>
          <w:tcPr>
            <w:tcW w:w="246" w:type="dxa"/>
            <w:vAlign w:val="center"/>
          </w:tcPr>
          <w:p w14:paraId="759FE6C5" w14:textId="77777777" w:rsidR="004E36C8" w:rsidRPr="00382FFE" w:rsidRDefault="004E36C8" w:rsidP="00970448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</w:tbl>
    <w:p w14:paraId="1E9D01EA" w14:textId="46CB2E23" w:rsidR="00D219F2" w:rsidRPr="00382FFE" w:rsidRDefault="00D219F2" w:rsidP="0025587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00313A69" w14:textId="0F49C771" w:rsidR="00C971D6" w:rsidRPr="00382FFE" w:rsidRDefault="00DA166D" w:rsidP="006C53B4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Për muajin 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>g</w:t>
      </w:r>
      <w:r w:rsidR="004118B5" w:rsidRPr="00382FFE">
        <w:rPr>
          <w:rFonts w:asciiTheme="majorBidi" w:hAnsiTheme="majorBidi" w:cstheme="majorBidi"/>
          <w:sz w:val="24"/>
          <w:szCs w:val="24"/>
          <w:lang w:val="sq-AL"/>
        </w:rPr>
        <w:t>usht</w:t>
      </w:r>
      <w:r w:rsidR="00AF3B58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DE56FF" w:rsidRPr="00382FFE">
        <w:rPr>
          <w:rFonts w:asciiTheme="majorBidi" w:hAnsiTheme="majorBidi" w:cstheme="majorBidi"/>
          <w:sz w:val="24"/>
          <w:szCs w:val="24"/>
          <w:lang w:val="sq-AL"/>
        </w:rPr>
        <w:t>janë</w:t>
      </w:r>
      <w:r w:rsidR="007E5FD7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382FFE">
        <w:rPr>
          <w:rFonts w:asciiTheme="majorBidi" w:hAnsiTheme="majorBidi" w:cstheme="majorBidi"/>
          <w:sz w:val="24"/>
          <w:szCs w:val="24"/>
          <w:lang w:val="sq-AL"/>
        </w:rPr>
        <w:t xml:space="preserve">raportuar </w:t>
      </w:r>
      <w:r w:rsidR="00A00797" w:rsidRPr="00382FFE">
        <w:rPr>
          <w:rFonts w:asciiTheme="majorBidi" w:hAnsiTheme="majorBidi" w:cstheme="majorBidi"/>
          <w:sz w:val="24"/>
          <w:szCs w:val="24"/>
          <w:lang w:val="sq-AL"/>
        </w:rPr>
        <w:t>6</w:t>
      </w:r>
      <w:r w:rsidR="0042605D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311DE" w:rsidRPr="00382FFE">
        <w:rPr>
          <w:rFonts w:asciiTheme="majorBidi" w:hAnsiTheme="majorBidi" w:cstheme="majorBidi"/>
          <w:sz w:val="24"/>
          <w:szCs w:val="24"/>
          <w:lang w:val="sq-AL"/>
        </w:rPr>
        <w:t xml:space="preserve">raste </w:t>
      </w:r>
      <w:r w:rsidR="00053300" w:rsidRPr="00382FFE">
        <w:rPr>
          <w:rFonts w:asciiTheme="majorBidi" w:hAnsiTheme="majorBidi" w:cstheme="majorBidi"/>
          <w:sz w:val="24"/>
          <w:szCs w:val="24"/>
          <w:lang w:val="sq-AL"/>
        </w:rPr>
        <w:t>Bruceloz</w:t>
      </w:r>
      <w:r w:rsidR="00FC7594" w:rsidRPr="00382FFE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053300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C06327" w:rsidRPr="00382FFE">
        <w:rPr>
          <w:rFonts w:asciiTheme="majorBidi" w:hAnsiTheme="majorBidi" w:cstheme="majorBidi"/>
          <w:sz w:val="24"/>
          <w:szCs w:val="24"/>
          <w:lang w:val="sq-AL"/>
        </w:rPr>
        <w:t>p</w:t>
      </w:r>
      <w:r w:rsidR="00BA64AC" w:rsidRPr="00382FFE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C06327" w:rsidRPr="00382FFE">
        <w:rPr>
          <w:rFonts w:asciiTheme="majorBidi" w:hAnsiTheme="majorBidi" w:cstheme="majorBidi"/>
          <w:sz w:val="24"/>
          <w:szCs w:val="24"/>
          <w:lang w:val="sq-AL"/>
        </w:rPr>
        <w:t>rkat</w:t>
      </w:r>
      <w:r w:rsidR="00BA64AC" w:rsidRPr="00382FFE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C06327" w:rsidRPr="00382FFE">
        <w:rPr>
          <w:rFonts w:asciiTheme="majorBidi" w:hAnsiTheme="majorBidi" w:cstheme="majorBidi"/>
          <w:sz w:val="24"/>
          <w:szCs w:val="24"/>
          <w:lang w:val="sq-AL"/>
        </w:rPr>
        <w:t>sisht</w:t>
      </w:r>
      <w:r w:rsidR="00674D48" w:rsidRPr="00382FFE">
        <w:rPr>
          <w:rFonts w:asciiTheme="majorBidi" w:hAnsiTheme="majorBidi" w:cstheme="majorBidi"/>
          <w:sz w:val="24"/>
          <w:szCs w:val="24"/>
          <w:lang w:val="sq-AL"/>
        </w:rPr>
        <w:t>: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77943" w:rsidRPr="00382FFE">
        <w:rPr>
          <w:rFonts w:asciiTheme="majorBidi" w:hAnsiTheme="majorBidi" w:cstheme="majorBidi"/>
          <w:sz w:val="24"/>
          <w:szCs w:val="24"/>
          <w:lang w:val="sq-AL"/>
        </w:rPr>
        <w:t>3</w:t>
      </w:r>
      <w:r w:rsidR="004E36C8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n</w:t>
      </w:r>
      <w:r w:rsidR="00613FB8" w:rsidRPr="00382FFE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FE01FC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8E6528" w:rsidRPr="00382FFE">
        <w:rPr>
          <w:rFonts w:asciiTheme="majorBidi" w:hAnsiTheme="majorBidi" w:cstheme="majorBidi"/>
          <w:sz w:val="24"/>
          <w:szCs w:val="24"/>
          <w:lang w:val="sq-AL"/>
        </w:rPr>
        <w:t>Tepelenë</w:t>
      </w:r>
      <w:r w:rsidR="00AF3B58" w:rsidRPr="00382FFE">
        <w:rPr>
          <w:rFonts w:asciiTheme="majorBidi" w:hAnsiTheme="majorBidi" w:cstheme="majorBidi"/>
          <w:sz w:val="24"/>
          <w:szCs w:val="24"/>
          <w:lang w:val="sq-AL"/>
        </w:rPr>
        <w:t xml:space="preserve">, </w:t>
      </w:r>
      <w:r w:rsidR="00677943" w:rsidRPr="00382FFE">
        <w:rPr>
          <w:rFonts w:asciiTheme="majorBidi" w:hAnsiTheme="majorBidi" w:cstheme="majorBidi"/>
          <w:sz w:val="24"/>
          <w:szCs w:val="24"/>
          <w:lang w:val="sq-AL"/>
        </w:rPr>
        <w:t>1</w:t>
      </w:r>
      <w:r w:rsidR="00723737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në </w:t>
      </w:r>
      <w:r w:rsidR="00677943" w:rsidRPr="00382FFE">
        <w:rPr>
          <w:rFonts w:asciiTheme="majorBidi" w:hAnsiTheme="majorBidi" w:cstheme="majorBidi"/>
          <w:sz w:val="24"/>
          <w:szCs w:val="24"/>
          <w:lang w:val="sq-AL"/>
        </w:rPr>
        <w:t>Berat,</w:t>
      </w:r>
      <w:r w:rsidR="00E728DE" w:rsidRPr="00382FFE">
        <w:rPr>
          <w:rFonts w:asciiTheme="majorBidi" w:hAnsiTheme="majorBidi" w:cstheme="majorBidi"/>
          <w:sz w:val="24"/>
          <w:szCs w:val="24"/>
          <w:lang w:val="sq-AL"/>
        </w:rPr>
        <w:t>1 në</w:t>
      </w:r>
      <w:r w:rsidR="00832D83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A00797" w:rsidRPr="00382FFE">
        <w:rPr>
          <w:rFonts w:asciiTheme="majorBidi" w:hAnsiTheme="majorBidi" w:cstheme="majorBidi"/>
          <w:sz w:val="24"/>
          <w:szCs w:val="24"/>
          <w:lang w:val="sq-AL"/>
        </w:rPr>
        <w:t>Sarand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296939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dhe 1 në </w:t>
      </w:r>
      <w:r w:rsidR="00A00797" w:rsidRPr="00382FFE">
        <w:rPr>
          <w:rFonts w:asciiTheme="majorBidi" w:hAnsiTheme="majorBidi" w:cstheme="majorBidi"/>
          <w:sz w:val="24"/>
          <w:szCs w:val="24"/>
          <w:lang w:val="sq-AL"/>
        </w:rPr>
        <w:t>Fier</w:t>
      </w:r>
      <w:r w:rsidR="006C53B4" w:rsidRPr="00382FFE">
        <w:rPr>
          <w:rFonts w:asciiTheme="majorBidi" w:hAnsiTheme="majorBidi" w:cstheme="majorBidi"/>
          <w:sz w:val="24"/>
          <w:szCs w:val="24"/>
          <w:lang w:val="sq-AL"/>
        </w:rPr>
        <w:t>.</w:t>
      </w:r>
    </w:p>
    <w:p w14:paraId="1AE36ACA" w14:textId="0B2086CE" w:rsidR="00A35259" w:rsidRPr="00382FFE" w:rsidRDefault="00A35259" w:rsidP="0097475D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468B5983" w14:textId="05FECE51" w:rsidR="00A35259" w:rsidRDefault="00A35259" w:rsidP="0097475D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54F16925" w14:textId="77777777" w:rsidR="002E43F6" w:rsidRPr="00382FFE" w:rsidRDefault="002E43F6" w:rsidP="0097475D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D64E3A6" w14:textId="21512787" w:rsidR="009A5581" w:rsidRPr="00382FFE" w:rsidRDefault="00BC23B7" w:rsidP="0097475D">
      <w:pPr>
        <w:pStyle w:val="ListParagraph"/>
        <w:numPr>
          <w:ilvl w:val="0"/>
          <w:numId w:val="15"/>
        </w:numPr>
        <w:spacing w:after="16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S</w:t>
      </w:r>
      <w:r w:rsidR="005603CB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ë</w:t>
      </w: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mundje</w:t>
      </w:r>
      <w:r w:rsidR="00644C6A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infektive me transmetim p</w:t>
      </w:r>
      <w:r w:rsidR="005603CB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ë</w:t>
      </w:r>
      <w:r w:rsidR="00644C6A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rmes ajrit</w:t>
      </w:r>
    </w:p>
    <w:p w14:paraId="41662BA7" w14:textId="77777777" w:rsidR="005F7CF8" w:rsidRPr="00382FFE" w:rsidRDefault="005F7CF8" w:rsidP="005F7CF8">
      <w:pPr>
        <w:pStyle w:val="ListParagraph"/>
        <w:spacing w:after="16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07391FDF" w14:textId="53D92206" w:rsidR="00A35259" w:rsidRPr="00304E54" w:rsidRDefault="00A86DB2" w:rsidP="00304E54">
      <w:pPr>
        <w:pStyle w:val="ListParagraph"/>
        <w:numPr>
          <w:ilvl w:val="1"/>
          <w:numId w:val="38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04E54">
        <w:rPr>
          <w:rFonts w:asciiTheme="majorBidi" w:hAnsiTheme="majorBidi" w:cstheme="majorBidi"/>
          <w:b/>
          <w:bCs/>
          <w:sz w:val="24"/>
          <w:szCs w:val="24"/>
          <w:lang w:val="sq-AL"/>
        </w:rPr>
        <w:t>COVID-19</w:t>
      </w:r>
    </w:p>
    <w:p w14:paraId="1346D3E0" w14:textId="6B8E346F" w:rsidR="00434D4E" w:rsidRPr="00382FFE" w:rsidRDefault="00434D4E" w:rsidP="008151B5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F564ECC" w14:textId="77777777" w:rsidR="00434D4E" w:rsidRPr="00382FFE" w:rsidRDefault="00434D4E" w:rsidP="00434D4E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Gjatë muajit gusht 2025 janë raportuar në Sistemin e Informacionit të Sëmundjeve Infektive 404 raste të konfirmuara me COVID-19 dhe incidenca e kësaj sëmundjeje për muajin gusht është 16.8 raste /100000 banorë. </w:t>
      </w:r>
    </w:p>
    <w:p w14:paraId="212873A0" w14:textId="77777777" w:rsidR="006C53B4" w:rsidRPr="00382FFE" w:rsidRDefault="006C53B4" w:rsidP="00434D4E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7A26E9D" w14:textId="12C87E4F" w:rsidR="002C008E" w:rsidRPr="00382FFE" w:rsidRDefault="00304E54" w:rsidP="002E43F6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Grafiku 7</w:t>
      </w:r>
      <w:r w:rsidR="00434D4E" w:rsidRPr="00382FFE">
        <w:rPr>
          <w:rFonts w:ascii="Times New Roman" w:hAnsi="Times New Roman"/>
          <w:b/>
          <w:sz w:val="24"/>
          <w:szCs w:val="24"/>
          <w:lang w:val="sq-AL"/>
        </w:rPr>
        <w:t>. Shpërndarja e rasteve sipas grup</w:t>
      </w:r>
      <w:r w:rsidR="006C53B4" w:rsidRPr="00382FFE">
        <w:rPr>
          <w:rFonts w:ascii="Times New Roman" w:hAnsi="Times New Roman"/>
          <w:b/>
          <w:sz w:val="24"/>
          <w:szCs w:val="24"/>
          <w:lang w:val="sq-AL"/>
        </w:rPr>
        <w:t>-</w:t>
      </w:r>
      <w:r w:rsidR="00434D4E" w:rsidRPr="00382FFE">
        <w:rPr>
          <w:rFonts w:ascii="Times New Roman" w:hAnsi="Times New Roman"/>
          <w:b/>
          <w:sz w:val="24"/>
          <w:szCs w:val="24"/>
          <w:lang w:val="sq-AL"/>
        </w:rPr>
        <w:t>moshave</w:t>
      </w:r>
      <w:r w:rsidR="006C53B4" w:rsidRPr="00382FFE">
        <w:rPr>
          <w:rFonts w:ascii="Times New Roman" w:hAnsi="Times New Roman"/>
          <w:b/>
          <w:sz w:val="24"/>
          <w:szCs w:val="24"/>
          <w:lang w:val="sq-AL"/>
        </w:rPr>
        <w:t>,</w:t>
      </w:r>
      <w:r w:rsidR="00434D4E"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C53B4" w:rsidRPr="00382FFE">
        <w:rPr>
          <w:rFonts w:ascii="Times New Roman" w:hAnsi="Times New Roman"/>
          <w:b/>
          <w:sz w:val="24"/>
          <w:szCs w:val="24"/>
          <w:lang w:val="sq-AL"/>
        </w:rPr>
        <w:t>gusht 2025</w:t>
      </w:r>
    </w:p>
    <w:p w14:paraId="55F7D68D" w14:textId="77777777" w:rsidR="00434D4E" w:rsidRPr="00382FFE" w:rsidRDefault="00434D4E" w:rsidP="00434D4E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noProof/>
        </w:rPr>
        <w:drawing>
          <wp:inline distT="0" distB="0" distL="0" distR="0" wp14:anchorId="16F2D742" wp14:editId="7D38C27C">
            <wp:extent cx="5457825" cy="2743200"/>
            <wp:effectExtent l="0" t="0" r="9525" b="0"/>
            <wp:docPr id="1205872356" name="Chart 1205872356">
              <a:extLst xmlns:a="http://schemas.openxmlformats.org/drawingml/2006/main">
                <a:ext uri="{FF2B5EF4-FFF2-40B4-BE49-F238E27FC236}">
                  <a16:creationId xmlns:a16="http://schemas.microsoft.com/office/drawing/2014/main" id="{2FB2F386-3E11-4BBC-80D0-2E2A520554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EEB757" w14:textId="77777777" w:rsidR="00434D4E" w:rsidRPr="00382FFE" w:rsidRDefault="00434D4E" w:rsidP="0010043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FC4F76" w14:textId="1A3F267E" w:rsidR="00434D4E" w:rsidRDefault="00434D4E" w:rsidP="006C53B4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mosha më e prekur për këtë muaj janë 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mosha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t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55-64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me72 raste e ndjekur nga ajo 65-74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me 64 raste, 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moshat 45-54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25-34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me nga 56 raste secila. Këtë muaj ka një rritje të rasteve të 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moshës pediatrike që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 xml:space="preserve"> shoqërohet edhe me rritje të sh</w:t>
      </w:r>
      <w:r w:rsidRPr="00382FFE">
        <w:rPr>
          <w:rFonts w:ascii="Times New Roman" w:hAnsi="Times New Roman"/>
          <w:sz w:val="24"/>
          <w:szCs w:val="24"/>
          <w:lang w:val="sq-AL"/>
        </w:rPr>
        <w:t>trimeve në këtë 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moshë. Në grup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</w:t>
      </w:r>
      <w:r w:rsidRPr="00382FFE">
        <w:rPr>
          <w:rFonts w:ascii="Times New Roman" w:hAnsi="Times New Roman"/>
          <w:sz w:val="24"/>
          <w:szCs w:val="24"/>
          <w:lang w:val="sq-AL"/>
        </w:rPr>
        <w:t>moshën 0-04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rastet e konfirmuara janë 32 nga të cilat 18 janë të shtruar në spital. </w:t>
      </w:r>
    </w:p>
    <w:p w14:paraId="218126F4" w14:textId="02EEC350" w:rsidR="00434D4E" w:rsidRPr="00382FFE" w:rsidRDefault="00304E54" w:rsidP="009F39CE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lastRenderedPageBreak/>
        <w:t>G</w:t>
      </w:r>
      <w:r w:rsidR="00434D4E" w:rsidRPr="00382FFE">
        <w:rPr>
          <w:rFonts w:ascii="Times New Roman" w:hAnsi="Times New Roman"/>
          <w:b/>
          <w:sz w:val="24"/>
          <w:szCs w:val="24"/>
          <w:lang w:val="sq-AL"/>
        </w:rPr>
        <w:t xml:space="preserve">rafiku </w:t>
      </w:r>
      <w:r>
        <w:rPr>
          <w:rFonts w:ascii="Times New Roman" w:hAnsi="Times New Roman"/>
          <w:b/>
          <w:sz w:val="24"/>
          <w:szCs w:val="24"/>
          <w:lang w:val="sq-AL"/>
        </w:rPr>
        <w:t>8</w:t>
      </w:r>
      <w:r w:rsidR="00434D4E" w:rsidRPr="00382FFE">
        <w:rPr>
          <w:rFonts w:ascii="Times New Roman" w:hAnsi="Times New Roman"/>
          <w:b/>
          <w:sz w:val="24"/>
          <w:szCs w:val="24"/>
          <w:lang w:val="sq-AL"/>
        </w:rPr>
        <w:t xml:space="preserve">. Shpërndarja e rasteve sipas bashkive </w:t>
      </w:r>
      <w:r w:rsidR="006C53B4" w:rsidRPr="00382FFE">
        <w:rPr>
          <w:rFonts w:ascii="Times New Roman" w:hAnsi="Times New Roman"/>
          <w:b/>
          <w:sz w:val="24"/>
          <w:szCs w:val="24"/>
          <w:lang w:val="sq-AL"/>
        </w:rPr>
        <w:t>gusht 2025</w:t>
      </w:r>
    </w:p>
    <w:p w14:paraId="72C0243F" w14:textId="77777777" w:rsidR="00434D4E" w:rsidRPr="00382FFE" w:rsidRDefault="00434D4E" w:rsidP="00434D4E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noProof/>
        </w:rPr>
        <w:drawing>
          <wp:inline distT="0" distB="0" distL="0" distR="0" wp14:anchorId="058A0224" wp14:editId="1A80D28E">
            <wp:extent cx="5677231" cy="2360930"/>
            <wp:effectExtent l="0" t="0" r="0" b="1270"/>
            <wp:docPr id="923597042" name="Chart 923597042">
              <a:extLst xmlns:a="http://schemas.openxmlformats.org/drawingml/2006/main">
                <a:ext uri="{FF2B5EF4-FFF2-40B4-BE49-F238E27FC236}">
                  <a16:creationId xmlns:a16="http://schemas.microsoft.com/office/drawing/2014/main" id="{020E092D-6C29-4A89-B678-644328D2B5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03B7B46" w14:textId="77777777" w:rsidR="00434D4E" w:rsidRPr="00382FFE" w:rsidRDefault="00434D4E" w:rsidP="00434D4E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Rastet janë raportuar nga pjesa më e madhe e bashkive. Numrin më të madh të rasteve e kanë bashkitë Tiranë, Durrës, Fier, Vlorë etj.</w:t>
      </w:r>
    </w:p>
    <w:p w14:paraId="31AAC50D" w14:textId="7FDB1098" w:rsidR="00434D4E" w:rsidRPr="00382FFE" w:rsidRDefault="00434D4E" w:rsidP="002C008E">
      <w:pPr>
        <w:rPr>
          <w:noProof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Gjatë muajit gusht 2025 janë raportuar 45 raste të shtruara në spital dhe asnjë raste vdekje</w:t>
      </w:r>
      <w:r w:rsidR="009F39CE" w:rsidRPr="00382FFE">
        <w:rPr>
          <w:rFonts w:ascii="Times New Roman" w:hAnsi="Times New Roman"/>
          <w:sz w:val="24"/>
          <w:szCs w:val="24"/>
          <w:lang w:val="sq-AL"/>
        </w:rPr>
        <w:t>je</w:t>
      </w:r>
      <w:r w:rsidRPr="00382FFE">
        <w:rPr>
          <w:rFonts w:ascii="Times New Roman" w:hAnsi="Times New Roman"/>
          <w:sz w:val="24"/>
          <w:szCs w:val="24"/>
          <w:lang w:val="sq-AL"/>
        </w:rPr>
        <w:t>. Konfirmimi i rasteve është bërë në 91.6% (370 raste) janë konfirmuar në laboratorët e NJVKSH-ve dhe 8.4% (34 raste) janë konfirmuar në laboratorin e ISHP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-së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  <w:r w:rsidRPr="00382FFE">
        <w:rPr>
          <w:noProof/>
          <w:lang w:val="sq-AL"/>
        </w:rPr>
        <w:t xml:space="preserve"> </w:t>
      </w:r>
    </w:p>
    <w:p w14:paraId="13F8B2B9" w14:textId="77777777" w:rsidR="00D4593D" w:rsidRPr="00382FFE" w:rsidRDefault="00D4593D" w:rsidP="008151B5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0FB3441C" w14:textId="4588A15F" w:rsidR="002C008E" w:rsidRPr="00382FFE" w:rsidRDefault="00DE56FF" w:rsidP="002C008E">
      <w:pPr>
        <w:pStyle w:val="ListParagraph"/>
        <w:numPr>
          <w:ilvl w:val="0"/>
          <w:numId w:val="15"/>
        </w:numPr>
        <w:spacing w:after="16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Sëmundje të</w:t>
      </w:r>
      <w:r w:rsidR="00024B4B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tjera </w:t>
      </w:r>
    </w:p>
    <w:p w14:paraId="15A132AF" w14:textId="77E30129" w:rsidR="002C008E" w:rsidRPr="00382FFE" w:rsidRDefault="002C008E" w:rsidP="002C008E">
      <w:pPr>
        <w:spacing w:after="1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Le</w:t>
      </w:r>
      <w:r w:rsidR="006C53B4"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ishmania viscerale g</w:t>
      </w:r>
      <w:r w:rsidRPr="00382FFE">
        <w:rPr>
          <w:rFonts w:asciiTheme="majorBidi" w:hAnsiTheme="majorBidi" w:cstheme="majorBidi"/>
          <w:b/>
          <w:bCs/>
          <w:sz w:val="24"/>
          <w:szCs w:val="24"/>
          <w:lang w:val="sq-AL"/>
        </w:rPr>
        <w:t>usht 2025</w:t>
      </w:r>
    </w:p>
    <w:p w14:paraId="5D40AFB2" w14:textId="6978E1AF" w:rsidR="002C008E" w:rsidRPr="00382FFE" w:rsidRDefault="002C008E" w:rsidP="002C008E">
      <w:pPr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Në muajin gusht 2025 është raportuar një rast i moshës pediatrike nga bashkia Librazhd me leishmania viscerale.</w:t>
      </w:r>
    </w:p>
    <w:p w14:paraId="5D76DEA6" w14:textId="77777777" w:rsidR="006C53B4" w:rsidRPr="00382FFE" w:rsidRDefault="006C53B4" w:rsidP="006C53B4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5BE716A6" w14:textId="5A435518" w:rsidR="002C008E" w:rsidRPr="00382FFE" w:rsidRDefault="00A4288F" w:rsidP="00375213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Infeksioni nga V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>irusi i Nilit Per</w:t>
      </w:r>
      <w:r w:rsidR="006C53B4" w:rsidRPr="00382FFE">
        <w:rPr>
          <w:rFonts w:ascii="Times New Roman" w:hAnsi="Times New Roman"/>
          <w:b/>
          <w:sz w:val="24"/>
          <w:szCs w:val="24"/>
          <w:lang w:val="sq-AL"/>
        </w:rPr>
        <w:t>ë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 xml:space="preserve">ndimor </w:t>
      </w:r>
      <w:r w:rsidR="00375213" w:rsidRPr="00382FFE">
        <w:rPr>
          <w:rFonts w:ascii="Times New Roman" w:hAnsi="Times New Roman"/>
          <w:b/>
          <w:sz w:val="24"/>
          <w:szCs w:val="24"/>
          <w:lang w:val="sq-AL"/>
        </w:rPr>
        <w:t>(V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>N</w:t>
      </w:r>
      <w:r w:rsidR="00375213" w:rsidRPr="00382FFE">
        <w:rPr>
          <w:rFonts w:ascii="Times New Roman" w:hAnsi="Times New Roman"/>
          <w:b/>
          <w:sz w:val="24"/>
          <w:szCs w:val="24"/>
          <w:lang w:val="sq-AL"/>
        </w:rPr>
        <w:t>P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4B5CB54C" w14:textId="358A60AD" w:rsidR="002C008E" w:rsidRPr="00382FFE" w:rsidRDefault="002C008E" w:rsidP="0037521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Gjatë vitit 2025 në Shqipë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ri janë testuar 82 persona per V</w:t>
      </w:r>
      <w:r w:rsidRPr="00382FFE">
        <w:rPr>
          <w:rFonts w:ascii="Times New Roman" w:hAnsi="Times New Roman"/>
          <w:sz w:val="24"/>
          <w:szCs w:val="24"/>
          <w:lang w:val="sq-AL"/>
        </w:rPr>
        <w:t>N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P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ku vetëm gjat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 muajve qershor – g</w:t>
      </w:r>
      <w:r w:rsidRPr="00382FFE">
        <w:rPr>
          <w:rFonts w:ascii="Times New Roman" w:hAnsi="Times New Roman"/>
          <w:sz w:val="24"/>
          <w:szCs w:val="24"/>
          <w:lang w:val="sq-AL"/>
        </w:rPr>
        <w:t>usht 2025 janë testuar 72 raste (87.8%) t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dyshuar 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VNP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3EA3FA07" w14:textId="1975E414" w:rsidR="002C008E" w:rsidRPr="00382FFE" w:rsidRDefault="006C53B4" w:rsidP="00FB21C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 xml:space="preserve">Gjatë periudhës qershor </w:t>
      </w:r>
      <w:r w:rsidR="00FB21C0" w:rsidRPr="00382FFE">
        <w:rPr>
          <w:rFonts w:ascii="Times New Roman" w:hAnsi="Times New Roman"/>
          <w:sz w:val="24"/>
          <w:szCs w:val="24"/>
          <w:lang w:val="sq-AL"/>
        </w:rPr>
        <w:t>–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</w:t>
      </w:r>
      <w:r w:rsidR="002C008E" w:rsidRPr="00382FFE">
        <w:rPr>
          <w:rFonts w:ascii="Times New Roman" w:hAnsi="Times New Roman"/>
          <w:sz w:val="24"/>
          <w:szCs w:val="24"/>
          <w:lang w:val="sq-AL"/>
        </w:rPr>
        <w:t>usht 2025, nga 72 rastet e testuara, vetëm 2 raste (4.1%) janë konfirmuar nëpërmjet serologjisë të dyfishtë dhe PCR</w:t>
      </w:r>
      <w:r w:rsidRPr="00382FFE">
        <w:rPr>
          <w:rFonts w:ascii="Times New Roman" w:hAnsi="Times New Roman"/>
          <w:sz w:val="24"/>
          <w:szCs w:val="24"/>
          <w:lang w:val="sq-AL"/>
        </w:rPr>
        <w:t>,</w:t>
      </w:r>
      <w:r w:rsidR="002C008E" w:rsidRPr="00382FFE">
        <w:rPr>
          <w:rFonts w:ascii="Times New Roman" w:hAnsi="Times New Roman"/>
          <w:sz w:val="24"/>
          <w:szCs w:val="24"/>
          <w:lang w:val="sq-AL"/>
        </w:rPr>
        <w:t xml:space="preserve"> ndërsa 1 rast është i mundshëm duke paraqitur vetëm një rezultat pozitiv serologjik</w:t>
      </w:r>
      <w:r w:rsidRPr="00382FFE">
        <w:rPr>
          <w:rFonts w:ascii="Times New Roman" w:hAnsi="Times New Roman"/>
          <w:sz w:val="24"/>
          <w:szCs w:val="24"/>
          <w:lang w:val="sq-AL"/>
        </w:rPr>
        <w:t>,</w:t>
      </w:r>
      <w:r w:rsidR="002C008E" w:rsidRPr="00382FF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B21C0" w:rsidRPr="00382FFE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2C008E" w:rsidRPr="00382FFE">
        <w:rPr>
          <w:rFonts w:ascii="Times New Roman" w:hAnsi="Times New Roman"/>
          <w:sz w:val="24"/>
          <w:szCs w:val="24"/>
          <w:lang w:val="sq-AL"/>
        </w:rPr>
        <w:t xml:space="preserve">69 raste mbeten raste të dyshuara për shkak të shenjave klinike. </w:t>
      </w:r>
    </w:p>
    <w:p w14:paraId="33BBBB15" w14:textId="0EA1E020" w:rsidR="002C008E" w:rsidRPr="00382FFE" w:rsidRDefault="002C008E" w:rsidP="006C53B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Rasti i parë është konfirmuar në laboratorin e ISHP</w:t>
      </w:r>
      <w:r w:rsidR="002174F2" w:rsidRPr="00382FFE">
        <w:rPr>
          <w:rFonts w:ascii="Times New Roman" w:hAnsi="Times New Roman"/>
          <w:sz w:val="24"/>
          <w:szCs w:val="24"/>
          <w:lang w:val="sq-AL"/>
        </w:rPr>
        <w:t>-së</w:t>
      </w:r>
      <w:r w:rsidRPr="00382FFE">
        <w:rPr>
          <w:rFonts w:ascii="Times New Roman" w:hAnsi="Times New Roman"/>
          <w:sz w:val="24"/>
          <w:szCs w:val="24"/>
          <w:lang w:val="sq-AL"/>
        </w:rPr>
        <w:t>, është raprotuar nga shërbimi i sëmundjeve infektive n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Elbasan dhe nuk referon udhëtime jashtë vendit. Pacienti është nga Belshi, njësia administrative Cep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2174F2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i mosh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 72 vje</w:t>
      </w:r>
      <w:r w:rsidR="006C53B4" w:rsidRPr="00382FFE">
        <w:rPr>
          <w:rFonts w:ascii="Times New Roman" w:hAnsi="Times New Roman"/>
          <w:sz w:val="24"/>
          <w:szCs w:val="24"/>
          <w:lang w:val="sq-AL"/>
        </w:rPr>
        <w:t>ç</w:t>
      </w:r>
      <w:r w:rsidR="002174F2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ka paraqitur shenja të pakta cerebrale.  Aktualisht ai ka dalë nga spitali në gjendje të mirë shëndetësore. </w:t>
      </w:r>
    </w:p>
    <w:p w14:paraId="4404D49E" w14:textId="306554D7" w:rsidR="002C008E" w:rsidRPr="00382FFE" w:rsidRDefault="002C008E" w:rsidP="0037521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lastRenderedPageBreak/>
        <w:t>Ndërsa rasti i dytë paraqet shenja meningeale</w:t>
      </w:r>
      <w:r w:rsidR="002174F2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është i moshës 65 vje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nga Ku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>ova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por raportuar nga Spitali i Beratit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 xml:space="preserve"> është transferuar në s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hërbimin e sëmundjeve infektive, QSUT. </w:t>
      </w:r>
    </w:p>
    <w:p w14:paraId="085D8FE3" w14:textId="33454EBE" w:rsidR="002C008E" w:rsidRPr="00382FFE" w:rsidRDefault="002C008E" w:rsidP="007D74A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Pacientja e klasifikuar si e mundshme është e moshës 60 vje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ç, gjinia femërore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pa të dhëna </w:t>
      </w:r>
      <w:r w:rsidR="007D74AC" w:rsidRPr="00382FFE">
        <w:rPr>
          <w:rFonts w:ascii="Times New Roman" w:hAnsi="Times New Roman"/>
          <w:sz w:val="24"/>
          <w:szCs w:val="24"/>
          <w:lang w:val="sq-AL"/>
        </w:rPr>
        <w:t>udhëtimi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jashtë vendit, e raportuar nga NJVKSH Lezhë. </w:t>
      </w:r>
    </w:p>
    <w:p w14:paraId="0865ACD1" w14:textId="47CE5105" w:rsidR="002C008E" w:rsidRPr="00382FFE" w:rsidRDefault="00375213" w:rsidP="002C008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Rastet</w:t>
      </w:r>
      <w:r w:rsidR="002C008E" w:rsidRPr="00382FFE">
        <w:rPr>
          <w:rFonts w:ascii="Times New Roman" w:hAnsi="Times New Roman"/>
          <w:sz w:val="24"/>
          <w:szCs w:val="24"/>
          <w:lang w:val="sq-AL"/>
        </w:rPr>
        <w:t xml:space="preserve"> kanë paraqitur shenja klinike si: temperaturë, ethe, dhimbje koke, pështjellime, fotofobi, konvulsione, pagjumësi, dizorientim në kohë etj. </w:t>
      </w:r>
    </w:p>
    <w:p w14:paraId="3FA38DFD" w14:textId="273C5277" w:rsidR="002C008E" w:rsidRPr="00382FFE" w:rsidRDefault="002C008E" w:rsidP="0037521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Deri m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tani nuk është konfirmuar asnjë vdekje n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raste t</w:t>
      </w:r>
      <w:r w:rsidR="0037521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konfirmuara apo të mundshme të infeksionit nga VNP</w:t>
      </w:r>
      <w:r w:rsidR="007D74AC"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4BD626E1" w14:textId="109ED9B0" w:rsidR="007D74AC" w:rsidRPr="00382FFE" w:rsidRDefault="007D74AC" w:rsidP="002C008E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08B085E" w14:textId="4ECDE35D" w:rsidR="002C008E" w:rsidRPr="00382FFE" w:rsidRDefault="00304E54" w:rsidP="002C008E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Tabela 3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>. Klasifikimi i rasteve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7"/>
        <w:gridCol w:w="2661"/>
      </w:tblGrid>
      <w:tr w:rsidR="002C008E" w:rsidRPr="00382FFE" w14:paraId="7A9AF9CC" w14:textId="77777777" w:rsidTr="00F06B00">
        <w:tc>
          <w:tcPr>
            <w:tcW w:w="2268" w:type="dxa"/>
          </w:tcPr>
          <w:p w14:paraId="70CCAF60" w14:textId="22FED902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Raste t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 xml:space="preserve"> dyshuar</w:t>
            </w:r>
          </w:p>
        </w:tc>
        <w:tc>
          <w:tcPr>
            <w:tcW w:w="2437" w:type="dxa"/>
          </w:tcPr>
          <w:p w14:paraId="7770DCAD" w14:textId="25D7E191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Raste t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 xml:space="preserve"> mundshme</w:t>
            </w:r>
          </w:p>
        </w:tc>
        <w:tc>
          <w:tcPr>
            <w:tcW w:w="2661" w:type="dxa"/>
          </w:tcPr>
          <w:p w14:paraId="3FCEC651" w14:textId="65F54839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Raste t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 xml:space="preserve"> konfirmuara</w:t>
            </w:r>
          </w:p>
        </w:tc>
      </w:tr>
      <w:tr w:rsidR="002C008E" w:rsidRPr="00382FFE" w14:paraId="7DD9F2CC" w14:textId="77777777" w:rsidTr="00F06B00">
        <w:tc>
          <w:tcPr>
            <w:tcW w:w="2268" w:type="dxa"/>
          </w:tcPr>
          <w:p w14:paraId="266E084A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sz w:val="22"/>
                <w:lang w:val="sq-AL"/>
              </w:rPr>
              <w:t>69</w:t>
            </w:r>
          </w:p>
        </w:tc>
        <w:tc>
          <w:tcPr>
            <w:tcW w:w="2437" w:type="dxa"/>
          </w:tcPr>
          <w:p w14:paraId="6640B80D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sz w:val="22"/>
                <w:lang w:val="sq-AL"/>
              </w:rPr>
              <w:t>1</w:t>
            </w:r>
          </w:p>
        </w:tc>
        <w:tc>
          <w:tcPr>
            <w:tcW w:w="2661" w:type="dxa"/>
          </w:tcPr>
          <w:p w14:paraId="5BE1BB43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sz w:val="22"/>
                <w:lang w:val="sq-AL"/>
              </w:rPr>
              <w:t>2</w:t>
            </w:r>
          </w:p>
        </w:tc>
      </w:tr>
    </w:tbl>
    <w:p w14:paraId="2D4466CF" w14:textId="77777777" w:rsidR="002C008E" w:rsidRPr="00382FFE" w:rsidRDefault="002C008E" w:rsidP="002C008E">
      <w:pPr>
        <w:spacing w:line="276" w:lineRule="auto"/>
        <w:rPr>
          <w:rFonts w:ascii="Times New Roman" w:hAnsi="Times New Roman"/>
          <w:b/>
          <w:bCs/>
          <w:lang w:val="sq-AL"/>
        </w:rPr>
      </w:pPr>
    </w:p>
    <w:p w14:paraId="3428DFDA" w14:textId="200BE7F3" w:rsidR="002C008E" w:rsidRPr="00382FFE" w:rsidRDefault="002C008E" w:rsidP="002C008E">
      <w:pPr>
        <w:rPr>
          <w:rFonts w:ascii="Times New Roman" w:hAnsi="Times New Roman"/>
          <w:b/>
          <w:sz w:val="24"/>
          <w:szCs w:val="24"/>
          <w:lang w:val="sq-AL"/>
        </w:rPr>
      </w:pP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Tabela </w:t>
      </w:r>
      <w:r w:rsidR="00304E54">
        <w:rPr>
          <w:rFonts w:ascii="Times New Roman" w:hAnsi="Times New Roman"/>
          <w:b/>
          <w:sz w:val="24"/>
          <w:szCs w:val="24"/>
          <w:lang w:val="sq-AL"/>
        </w:rPr>
        <w:t>4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. Shpërndarja e rasteve sipas bashkive </w:t>
      </w:r>
    </w:p>
    <w:tbl>
      <w:tblPr>
        <w:tblW w:w="6030" w:type="dxa"/>
        <w:tblInd w:w="-5" w:type="dxa"/>
        <w:tblLook w:val="04A0" w:firstRow="1" w:lastRow="0" w:firstColumn="1" w:lastColumn="0" w:noHBand="0" w:noVBand="1"/>
      </w:tblPr>
      <w:tblGrid>
        <w:gridCol w:w="1349"/>
        <w:gridCol w:w="2161"/>
        <w:gridCol w:w="2520"/>
      </w:tblGrid>
      <w:tr w:rsidR="002C008E" w:rsidRPr="00382FFE" w14:paraId="34C8C8EB" w14:textId="77777777" w:rsidTr="00F06B00">
        <w:trPr>
          <w:trHeight w:val="93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111" w14:textId="20E03FAB" w:rsidR="002C008E" w:rsidRPr="00382FFE" w:rsidRDefault="002C008E" w:rsidP="004076A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Bashkia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3EF8" w14:textId="55F73B64" w:rsidR="002C008E" w:rsidRPr="00382FFE" w:rsidRDefault="002C008E" w:rsidP="004076A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Raste t</w:t>
            </w:r>
            <w:r w:rsidRPr="00382FFE">
              <w:rPr>
                <w:rFonts w:ascii="Times New Roman" w:hAnsi="Times New Roman"/>
                <w:b/>
                <w:bCs/>
                <w:sz w:val="22"/>
                <w:lang w:val="sq-AL"/>
              </w:rPr>
              <w:t>ë</w:t>
            </w: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 xml:space="preserve"> mundshme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891B" w14:textId="4FE16968" w:rsidR="002C008E" w:rsidRPr="00382FFE" w:rsidRDefault="002C008E" w:rsidP="00F4685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Raste t</w:t>
            </w:r>
            <w:r w:rsidR="00F46853" w:rsidRPr="00382FFE">
              <w:rPr>
                <w:rFonts w:ascii="Times New Roman" w:hAnsi="Times New Roman"/>
                <w:b/>
                <w:bCs/>
                <w:sz w:val="22"/>
                <w:lang w:val="sq-AL"/>
              </w:rPr>
              <w:t>ë</w:t>
            </w:r>
            <w:r w:rsidRPr="00382F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 xml:space="preserve"> konfirmuara</w:t>
            </w:r>
          </w:p>
        </w:tc>
      </w:tr>
      <w:tr w:rsidR="002C008E" w:rsidRPr="00382FFE" w14:paraId="22644B4C" w14:textId="77777777" w:rsidTr="00F06B00">
        <w:trPr>
          <w:trHeight w:val="312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BFBB" w14:textId="0A4B6780" w:rsidR="002C008E" w:rsidRPr="00382FFE" w:rsidRDefault="002C008E" w:rsidP="00F4685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>Ku</w:t>
            </w:r>
            <w:r w:rsidR="00F46853"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>ç</w:t>
            </w: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>ov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30B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D2C3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</w:tr>
      <w:tr w:rsidR="002C008E" w:rsidRPr="00382FFE" w14:paraId="508DAD04" w14:textId="77777777" w:rsidTr="00F06B00">
        <w:trPr>
          <w:trHeight w:val="312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EE2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>Belsh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D0DC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4C07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</w:tr>
      <w:tr w:rsidR="002C008E" w:rsidRPr="00382FFE" w14:paraId="3C0FDFAA" w14:textId="77777777" w:rsidTr="00F06B00">
        <w:trPr>
          <w:trHeight w:val="312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51AF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>Lezh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A19B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9AE3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2C008E" w:rsidRPr="00382FFE" w14:paraId="55993705" w14:textId="77777777" w:rsidTr="00F06B00">
        <w:trPr>
          <w:trHeight w:val="312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577F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bCs/>
                <w:color w:val="000000"/>
                <w:sz w:val="22"/>
                <w:lang w:val="sq-AL"/>
              </w:rPr>
              <w:t xml:space="preserve">Shuma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7BB3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6B1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2</w:t>
            </w:r>
          </w:p>
        </w:tc>
      </w:tr>
    </w:tbl>
    <w:p w14:paraId="71E0A908" w14:textId="77777777" w:rsidR="002C008E" w:rsidRPr="00382FFE" w:rsidRDefault="002C008E" w:rsidP="002C008E">
      <w:pPr>
        <w:spacing w:line="276" w:lineRule="auto"/>
        <w:rPr>
          <w:rFonts w:ascii="Times New Roman" w:hAnsi="Times New Roman"/>
          <w:lang w:val="sq-AL"/>
        </w:rPr>
      </w:pPr>
    </w:p>
    <w:p w14:paraId="52C19F87" w14:textId="3630E5F6" w:rsidR="002C008E" w:rsidRPr="00382FFE" w:rsidRDefault="002C008E" w:rsidP="00F46853">
      <w:pPr>
        <w:rPr>
          <w:rFonts w:ascii="Times New Roman" w:hAnsi="Times New Roman"/>
          <w:b/>
          <w:sz w:val="24"/>
          <w:szCs w:val="24"/>
          <w:lang w:val="sq-AL"/>
        </w:rPr>
      </w:pP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Tabela </w:t>
      </w:r>
      <w:r w:rsidR="00304E54">
        <w:rPr>
          <w:rFonts w:ascii="Times New Roman" w:hAnsi="Times New Roman"/>
          <w:b/>
          <w:sz w:val="24"/>
          <w:szCs w:val="24"/>
          <w:lang w:val="sq-AL"/>
        </w:rPr>
        <w:t>5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>. Shp</w:t>
      </w:r>
      <w:r w:rsidR="00F46853" w:rsidRPr="00382FFE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>rndarja e rasteve sipas gjinis</w:t>
      </w:r>
      <w:r w:rsidR="00F46853" w:rsidRPr="00382FFE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61"/>
        <w:gridCol w:w="2551"/>
      </w:tblGrid>
      <w:tr w:rsidR="002C008E" w:rsidRPr="00382FFE" w14:paraId="5CE0AB91" w14:textId="77777777" w:rsidTr="00F06B00">
        <w:tc>
          <w:tcPr>
            <w:tcW w:w="2254" w:type="dxa"/>
          </w:tcPr>
          <w:p w14:paraId="6911CF30" w14:textId="0DE096AA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/>
                <w:bCs/>
                <w:sz w:val="22"/>
                <w:lang w:val="sq-AL"/>
              </w:rPr>
              <w:t>Gjinia</w:t>
            </w:r>
          </w:p>
        </w:tc>
        <w:tc>
          <w:tcPr>
            <w:tcW w:w="2561" w:type="dxa"/>
          </w:tcPr>
          <w:p w14:paraId="6B4659C6" w14:textId="7C00B712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/>
                <w:bCs/>
                <w:sz w:val="22"/>
                <w:lang w:val="sq-AL"/>
              </w:rPr>
              <w:t>Raste të mundshme</w:t>
            </w:r>
          </w:p>
        </w:tc>
        <w:tc>
          <w:tcPr>
            <w:tcW w:w="2551" w:type="dxa"/>
          </w:tcPr>
          <w:p w14:paraId="04EEEC02" w14:textId="427C1A09" w:rsidR="002C008E" w:rsidRPr="00382FFE" w:rsidRDefault="002C008E" w:rsidP="004076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/>
                <w:bCs/>
                <w:sz w:val="22"/>
                <w:lang w:val="sq-AL"/>
              </w:rPr>
              <w:t>Raste të konfirmuara</w:t>
            </w:r>
          </w:p>
        </w:tc>
      </w:tr>
      <w:tr w:rsidR="002C008E" w:rsidRPr="00382FFE" w14:paraId="208C1D63" w14:textId="77777777" w:rsidTr="00F06B00">
        <w:tc>
          <w:tcPr>
            <w:tcW w:w="2254" w:type="dxa"/>
          </w:tcPr>
          <w:p w14:paraId="3222C546" w14:textId="77777777" w:rsidR="002C008E" w:rsidRPr="00382FFE" w:rsidRDefault="002C008E" w:rsidP="002C008E">
            <w:pPr>
              <w:spacing w:line="276" w:lineRule="auto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Fem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 xml:space="preserve">r </w:t>
            </w:r>
          </w:p>
        </w:tc>
        <w:tc>
          <w:tcPr>
            <w:tcW w:w="2561" w:type="dxa"/>
          </w:tcPr>
          <w:p w14:paraId="7AF6E1F9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1</w:t>
            </w:r>
          </w:p>
        </w:tc>
        <w:tc>
          <w:tcPr>
            <w:tcW w:w="2551" w:type="dxa"/>
          </w:tcPr>
          <w:p w14:paraId="6C47FB99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0</w:t>
            </w:r>
          </w:p>
        </w:tc>
      </w:tr>
      <w:tr w:rsidR="002C008E" w:rsidRPr="00382FFE" w14:paraId="203FB8F4" w14:textId="77777777" w:rsidTr="00F06B00">
        <w:tc>
          <w:tcPr>
            <w:tcW w:w="2254" w:type="dxa"/>
          </w:tcPr>
          <w:p w14:paraId="3A501BBB" w14:textId="77777777" w:rsidR="002C008E" w:rsidRPr="00382FFE" w:rsidRDefault="002C008E" w:rsidP="002C008E">
            <w:pPr>
              <w:spacing w:line="276" w:lineRule="auto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Mashkull</w:t>
            </w:r>
          </w:p>
        </w:tc>
        <w:tc>
          <w:tcPr>
            <w:tcW w:w="2561" w:type="dxa"/>
          </w:tcPr>
          <w:p w14:paraId="2E44BAB0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0</w:t>
            </w:r>
          </w:p>
        </w:tc>
        <w:tc>
          <w:tcPr>
            <w:tcW w:w="2551" w:type="dxa"/>
          </w:tcPr>
          <w:p w14:paraId="1DBABF0B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lang w:val="sq-AL"/>
              </w:rPr>
            </w:pPr>
            <w:r w:rsidRPr="00382FFE">
              <w:rPr>
                <w:rFonts w:ascii="Times New Roman" w:hAnsi="Times New Roman"/>
                <w:bCs/>
                <w:sz w:val="22"/>
                <w:lang w:val="sq-AL"/>
              </w:rPr>
              <w:t>2</w:t>
            </w:r>
          </w:p>
        </w:tc>
      </w:tr>
    </w:tbl>
    <w:p w14:paraId="47A725B5" w14:textId="77777777" w:rsidR="002C008E" w:rsidRPr="00382FFE" w:rsidRDefault="002C008E" w:rsidP="002C008E">
      <w:pPr>
        <w:spacing w:line="276" w:lineRule="auto"/>
        <w:rPr>
          <w:rFonts w:ascii="Times New Roman" w:hAnsi="Times New Roman"/>
          <w:b/>
          <w:bCs/>
          <w:lang w:val="sq-AL"/>
        </w:rPr>
      </w:pPr>
    </w:p>
    <w:p w14:paraId="0349909F" w14:textId="77777777" w:rsidR="002E43F6" w:rsidRDefault="002E43F6" w:rsidP="00F46853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C868DBE" w14:textId="77777777" w:rsidR="002E43F6" w:rsidRDefault="002E43F6" w:rsidP="00F46853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2A00CADA" w14:textId="77777777" w:rsidR="002E43F6" w:rsidRDefault="002E43F6" w:rsidP="00F46853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25E6C04" w14:textId="26253FE8" w:rsidR="002C008E" w:rsidRPr="00382FFE" w:rsidRDefault="00304E54" w:rsidP="00F46853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lastRenderedPageBreak/>
        <w:t>Grafiku 9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>. Krahasimi i rasteve t</w:t>
      </w:r>
      <w:r w:rsidR="00F46853" w:rsidRPr="00382FFE">
        <w:rPr>
          <w:rFonts w:ascii="Times New Roman" w:hAnsi="Times New Roman"/>
          <w:b/>
          <w:sz w:val="24"/>
          <w:szCs w:val="24"/>
          <w:lang w:val="sq-AL"/>
        </w:rPr>
        <w:t>ë konfirmuar me VNP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 xml:space="preserve"> n</w:t>
      </w:r>
      <w:r w:rsidR="00F46853" w:rsidRPr="00382FFE">
        <w:rPr>
          <w:rFonts w:ascii="Times New Roman" w:hAnsi="Times New Roman"/>
          <w:b/>
          <w:sz w:val="24"/>
          <w:szCs w:val="24"/>
          <w:lang w:val="sq-AL"/>
        </w:rPr>
        <w:t>ë</w:t>
      </w:r>
      <w:r w:rsidR="002C008E" w:rsidRPr="00382FFE">
        <w:rPr>
          <w:rFonts w:ascii="Times New Roman" w:hAnsi="Times New Roman"/>
          <w:b/>
          <w:sz w:val="24"/>
          <w:szCs w:val="24"/>
          <w:lang w:val="sq-AL"/>
        </w:rPr>
        <w:t xml:space="preserve"> dy vite 2024-2025</w:t>
      </w:r>
    </w:p>
    <w:p w14:paraId="2B62B86F" w14:textId="77777777" w:rsidR="002C008E" w:rsidRPr="00382FFE" w:rsidRDefault="002C008E" w:rsidP="002C008E">
      <w:pPr>
        <w:spacing w:line="276" w:lineRule="auto"/>
        <w:rPr>
          <w:rFonts w:ascii="Times New Roman" w:hAnsi="Times New Roman"/>
          <w:lang w:val="sq-AL"/>
        </w:rPr>
      </w:pPr>
      <w:r w:rsidRPr="00382FFE">
        <w:rPr>
          <w:noProof/>
          <w:color w:val="FF0000"/>
        </w:rPr>
        <w:drawing>
          <wp:inline distT="0" distB="0" distL="0" distR="0" wp14:anchorId="65017D36" wp14:editId="052D6360">
            <wp:extent cx="5271715" cy="2743200"/>
            <wp:effectExtent l="0" t="0" r="5715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34BA11E-567F-4CCB-B77F-C3591F516C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54A5238" w14:textId="753BBFFE" w:rsidR="002C008E" w:rsidRPr="00382FFE" w:rsidRDefault="002C008E" w:rsidP="00DC730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Si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vërehet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për të nj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jt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 xml:space="preserve">ën periudhë korrik 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–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 xml:space="preserve"> g</w:t>
      </w:r>
      <w:r w:rsidRPr="00382FFE">
        <w:rPr>
          <w:rFonts w:ascii="Times New Roman" w:hAnsi="Times New Roman"/>
          <w:sz w:val="24"/>
          <w:szCs w:val="24"/>
          <w:lang w:val="sq-AL"/>
        </w:rPr>
        <w:t>usht, numri i rasteve të konfirmu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ar këtë vit me virusin e Nilit P</w:t>
      </w:r>
      <w:r w:rsidRPr="00382FFE">
        <w:rPr>
          <w:rFonts w:ascii="Times New Roman" w:hAnsi="Times New Roman"/>
          <w:sz w:val="24"/>
          <w:szCs w:val="24"/>
          <w:lang w:val="sq-AL"/>
        </w:rPr>
        <w:t>erëndimor është vetëm 2 raste, ndërkoh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që në vitin 2024 ky numër ishte 79 raste të konfirmuar</w:t>
      </w:r>
      <w:r w:rsidR="00F46853" w:rsidRPr="00382FFE">
        <w:rPr>
          <w:rFonts w:ascii="Times New Roman" w:hAnsi="Times New Roman"/>
          <w:sz w:val="24"/>
          <w:szCs w:val="24"/>
          <w:lang w:val="sq-AL"/>
        </w:rPr>
        <w:t>a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0F40E44C" w14:textId="50EE398B" w:rsidR="002C008E" w:rsidRPr="00382FFE" w:rsidRDefault="002C008E" w:rsidP="001E6EA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Theksojmë që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gjatë vitit 2024 numri total i testimeve për virusin e</w:t>
      </w:r>
      <w:r w:rsidR="001E6EA3" w:rsidRPr="00382FFE">
        <w:rPr>
          <w:rFonts w:ascii="Times New Roman" w:hAnsi="Times New Roman"/>
          <w:sz w:val="24"/>
          <w:szCs w:val="24"/>
          <w:lang w:val="sq-AL"/>
        </w:rPr>
        <w:t xml:space="preserve"> Nilit Perëndimor ka qe</w:t>
      </w:r>
      <w:r w:rsidRPr="00382FFE">
        <w:rPr>
          <w:rFonts w:ascii="Times New Roman" w:hAnsi="Times New Roman"/>
          <w:sz w:val="24"/>
          <w:szCs w:val="24"/>
          <w:lang w:val="sq-AL"/>
        </w:rPr>
        <w:t>në 348 raste nga të cil</w:t>
      </w:r>
      <w:r w:rsidR="001E6EA3" w:rsidRPr="00382FFE">
        <w:rPr>
          <w:rFonts w:ascii="Times New Roman" w:hAnsi="Times New Roman"/>
          <w:sz w:val="24"/>
          <w:szCs w:val="24"/>
          <w:lang w:val="sq-AL"/>
        </w:rPr>
        <w:t>a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t u konfirmuan 107 raste. </w:t>
      </w:r>
    </w:p>
    <w:p w14:paraId="4782E2B1" w14:textId="795B1FBF" w:rsidR="002C008E" w:rsidRPr="00382FFE" w:rsidRDefault="002C008E" w:rsidP="009E158D">
      <w:pPr>
        <w:rPr>
          <w:rFonts w:ascii="Times New Roman" w:hAnsi="Times New Roman"/>
          <w:b/>
          <w:sz w:val="24"/>
          <w:szCs w:val="24"/>
          <w:lang w:val="sq-AL"/>
        </w:rPr>
      </w:pP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Tabela </w:t>
      </w:r>
      <w:r w:rsidR="00304E54">
        <w:rPr>
          <w:rFonts w:ascii="Times New Roman" w:hAnsi="Times New Roman"/>
          <w:b/>
          <w:sz w:val="24"/>
          <w:szCs w:val="24"/>
          <w:lang w:val="sq-AL"/>
        </w:rPr>
        <w:t>6</w:t>
      </w:r>
      <w:bookmarkStart w:id="2" w:name="_GoBack"/>
      <w:bookmarkEnd w:id="2"/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. </w:t>
      </w:r>
      <w:r w:rsidR="009E158D" w:rsidRPr="00382FFE">
        <w:rPr>
          <w:rFonts w:ascii="Times New Roman" w:hAnsi="Times New Roman"/>
          <w:b/>
          <w:sz w:val="24"/>
          <w:szCs w:val="24"/>
          <w:lang w:val="sq-AL"/>
        </w:rPr>
        <w:t>Klasifikimi i rasteve me V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>N</w:t>
      </w:r>
      <w:r w:rsidR="009E158D" w:rsidRPr="00382FFE">
        <w:rPr>
          <w:rFonts w:ascii="Times New Roman" w:hAnsi="Times New Roman"/>
          <w:b/>
          <w:sz w:val="24"/>
          <w:szCs w:val="24"/>
          <w:lang w:val="sq-AL"/>
        </w:rPr>
        <w:t>P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C7307" w:rsidRPr="00382FFE">
        <w:rPr>
          <w:rFonts w:ascii="Times New Roman" w:hAnsi="Times New Roman"/>
          <w:b/>
          <w:sz w:val="24"/>
          <w:szCs w:val="24"/>
          <w:lang w:val="sq-AL"/>
        </w:rPr>
        <w:t xml:space="preserve">viti </w:t>
      </w:r>
      <w:r w:rsidRPr="00382FFE">
        <w:rPr>
          <w:rFonts w:ascii="Times New Roman" w:hAnsi="Times New Roman"/>
          <w:b/>
          <w:sz w:val="24"/>
          <w:szCs w:val="24"/>
          <w:lang w:val="sq-AL"/>
        </w:rPr>
        <w:t>2024</w:t>
      </w:r>
    </w:p>
    <w:tbl>
      <w:tblPr>
        <w:tblW w:w="5755" w:type="dxa"/>
        <w:tblLook w:val="04A0" w:firstRow="1" w:lastRow="0" w:firstColumn="1" w:lastColumn="0" w:noHBand="0" w:noVBand="1"/>
      </w:tblPr>
      <w:tblGrid>
        <w:gridCol w:w="2155"/>
        <w:gridCol w:w="1710"/>
        <w:gridCol w:w="1890"/>
      </w:tblGrid>
      <w:tr w:rsidR="002C008E" w:rsidRPr="00382FFE" w14:paraId="462DF356" w14:textId="77777777" w:rsidTr="00F06B00">
        <w:trPr>
          <w:trHeight w:val="63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8B27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 Klasifikimi i rasteve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0B65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Num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r rastesh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EC52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% (raste/totalit)</w:t>
            </w:r>
          </w:p>
        </w:tc>
      </w:tr>
      <w:tr w:rsidR="002C008E" w:rsidRPr="00382FFE" w14:paraId="0C9EEA30" w14:textId="77777777" w:rsidTr="00F06B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F325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I konfirmuar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C888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C712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30.7</w:t>
            </w:r>
          </w:p>
        </w:tc>
      </w:tr>
      <w:tr w:rsidR="002C008E" w:rsidRPr="00382FFE" w14:paraId="0AFD5583" w14:textId="77777777" w:rsidTr="00F06B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F573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I mundsh</w:t>
            </w:r>
            <w:r w:rsidRPr="00382FFE">
              <w:rPr>
                <w:rFonts w:ascii="Times New Roman" w:hAnsi="Times New Roman"/>
                <w:sz w:val="22"/>
                <w:lang w:val="sq-AL"/>
              </w:rPr>
              <w:t>ë</w:t>
            </w: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1797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DB63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14.7</w:t>
            </w:r>
          </w:p>
        </w:tc>
      </w:tr>
      <w:tr w:rsidR="002C008E" w:rsidRPr="00382FFE" w14:paraId="6D110016" w14:textId="77777777" w:rsidTr="00F06B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F79" w14:textId="69C5F16C" w:rsidR="002C008E" w:rsidRPr="00382FFE" w:rsidRDefault="009E158D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I d</w:t>
            </w:r>
            <w:r w:rsidR="002C008E"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yshuar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073A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26D9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54.6</w:t>
            </w:r>
          </w:p>
        </w:tc>
      </w:tr>
      <w:tr w:rsidR="002C008E" w:rsidRPr="00382FFE" w14:paraId="2644D476" w14:textId="77777777" w:rsidTr="00F06B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411B" w14:textId="77777777" w:rsidR="002C008E" w:rsidRPr="00382FFE" w:rsidRDefault="002C008E" w:rsidP="002C008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Testime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7F0E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348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F230" w14:textId="77777777" w:rsidR="002C008E" w:rsidRPr="00382FFE" w:rsidRDefault="002C008E" w:rsidP="002C008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382FFE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100</w:t>
            </w:r>
          </w:p>
        </w:tc>
      </w:tr>
    </w:tbl>
    <w:p w14:paraId="39CA1F92" w14:textId="77777777" w:rsidR="002C008E" w:rsidRPr="00382FFE" w:rsidRDefault="002C008E" w:rsidP="002C008E">
      <w:pPr>
        <w:spacing w:line="276" w:lineRule="auto"/>
        <w:rPr>
          <w:rFonts w:ascii="Times New Roman" w:hAnsi="Times New Roman"/>
          <w:lang w:val="sq-AL"/>
        </w:rPr>
      </w:pPr>
    </w:p>
    <w:p w14:paraId="1A29FDF5" w14:textId="360991AF" w:rsidR="002C008E" w:rsidRPr="00382FFE" w:rsidRDefault="002C008E" w:rsidP="00DC730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P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82FFE">
        <w:rPr>
          <w:rFonts w:ascii="Times New Roman" w:hAnsi="Times New Roman"/>
          <w:sz w:val="24"/>
          <w:szCs w:val="24"/>
          <w:lang w:val="sq-AL"/>
        </w:rPr>
        <w:t>sa i p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rket prekjes 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kafsh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si zogj dhe kuaj nuk ka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na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tyre nga strukturat veterinare dhe mjedisore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vendi akoma nuk kryen survejanc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 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kafsh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shpend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. Disa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na jo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konfirmuara raportojn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se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gjat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studimi pran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Fakultetit t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Veterinaris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evidentuar pranin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e k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ëtij infeksioni te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kuajt n</w:t>
      </w:r>
      <w:r w:rsidR="009E158D"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 xml:space="preserve"> vitin 2024</w:t>
      </w:r>
      <w:r w:rsidRPr="00382FFE">
        <w:rPr>
          <w:rFonts w:ascii="Times New Roman" w:hAnsi="Times New Roman"/>
          <w:sz w:val="24"/>
          <w:szCs w:val="24"/>
          <w:lang w:val="sq-AL"/>
        </w:rPr>
        <w:t>.</w:t>
      </w:r>
    </w:p>
    <w:p w14:paraId="58005248" w14:textId="238E20EF" w:rsidR="002C008E" w:rsidRPr="00382FFE" w:rsidRDefault="002C008E" w:rsidP="00C141C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Gjat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saj kohe jan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kryer hetimet entomologjike ku jan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gjetur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to zona vektor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t p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rkat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mushkonjave Culex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format adulte. Nd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rkoh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vend vazhdon procesi i dezinsektimit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zonat e p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rcaktuara.</w:t>
      </w:r>
    </w:p>
    <w:p w14:paraId="1F61696D" w14:textId="112AF8ED" w:rsidR="002C008E" w:rsidRPr="00382FFE" w:rsidRDefault="002C008E" w:rsidP="00C141C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lastRenderedPageBreak/>
        <w:t>Banka Komb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tare e Gjakut ka marr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po ashtu masat p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rkat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se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drejtim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siguris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 së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gjakut p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VNP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duke testuar 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>do rast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ardhur nga zonat me r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rezik.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35867992" w14:textId="5C5A4B3F" w:rsidR="00CA177B" w:rsidRPr="00382FFE" w:rsidRDefault="002C008E" w:rsidP="00DC730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82FFE">
        <w:rPr>
          <w:rFonts w:ascii="Times New Roman" w:hAnsi="Times New Roman"/>
          <w:sz w:val="24"/>
          <w:szCs w:val="24"/>
          <w:lang w:val="sq-AL"/>
        </w:rPr>
        <w:t>ISHP udh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zon q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ç</w:t>
      </w:r>
      <w:r w:rsidRPr="00382FFE">
        <w:rPr>
          <w:rFonts w:ascii="Times New Roman" w:hAnsi="Times New Roman"/>
          <w:sz w:val="24"/>
          <w:szCs w:val="24"/>
          <w:lang w:val="sq-AL"/>
        </w:rPr>
        <w:t>do rast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dokumentohet qart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lidhje me detajet e vendbanimit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sistemin online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survejanc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s s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mundjeve 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infektive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apo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nat e tjera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pasi vet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m n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nyr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mund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het nj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hetim entomologjik i m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tejsh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ëm</w:t>
      </w:r>
      <w:r w:rsidR="00DC7307" w:rsidRPr="00382FFE">
        <w:rPr>
          <w:rFonts w:ascii="Times New Roman" w:hAnsi="Times New Roman"/>
          <w:sz w:val="24"/>
          <w:szCs w:val="24"/>
          <w:lang w:val="sq-AL"/>
        </w:rPr>
        <w:t>,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merren masat p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rkat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se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kontrollit t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 xml:space="preserve"> vektor</w:t>
      </w:r>
      <w:r w:rsidR="00C141C3" w:rsidRPr="00382FFE">
        <w:rPr>
          <w:rFonts w:ascii="Times New Roman" w:hAnsi="Times New Roman"/>
          <w:sz w:val="24"/>
          <w:szCs w:val="24"/>
          <w:lang w:val="sq-AL"/>
        </w:rPr>
        <w:t>ë</w:t>
      </w:r>
      <w:r w:rsidRPr="00382FFE">
        <w:rPr>
          <w:rFonts w:ascii="Times New Roman" w:hAnsi="Times New Roman"/>
          <w:sz w:val="24"/>
          <w:szCs w:val="24"/>
          <w:lang w:val="sq-AL"/>
        </w:rPr>
        <w:t>ve me larvicide dhe adulticide.</w:t>
      </w:r>
      <w:r w:rsidR="00CA177B" w:rsidRPr="00382FFE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</w:p>
    <w:tbl>
      <w:tblPr>
        <w:tblW w:w="6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6"/>
        <w:gridCol w:w="6"/>
      </w:tblGrid>
      <w:tr w:rsidR="0001065E" w:rsidRPr="002823D2" w14:paraId="05974DFB" w14:textId="77777777" w:rsidTr="00AE18F8">
        <w:trPr>
          <w:trHeight w:val="849"/>
        </w:trPr>
        <w:tc>
          <w:tcPr>
            <w:tcW w:w="4966" w:type="pct"/>
            <w:shd w:val="clear" w:color="auto" w:fill="FF5C0B"/>
            <w:tcMar>
              <w:top w:w="144" w:type="dxa"/>
              <w:right w:w="216" w:type="dxa"/>
            </w:tcMar>
          </w:tcPr>
          <w:p w14:paraId="16EB4354" w14:textId="76601186" w:rsidR="00846D10" w:rsidRDefault="00BF131A" w:rsidP="005E22A7">
            <w:pPr>
              <w:pStyle w:val="Subtitle-Back"/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823D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INSTITUTI I SHË</w:t>
            </w:r>
            <w:r w:rsidR="00854289" w:rsidRPr="002823D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NDETIT PUBLIK</w:t>
            </w:r>
          </w:p>
          <w:p w14:paraId="3B13FA16" w14:textId="658ABFC1" w:rsidR="0001065E" w:rsidRPr="002823D2" w:rsidRDefault="00854289" w:rsidP="005E22A7">
            <w:pPr>
              <w:pStyle w:val="Subtitle-Back"/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2823D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DEKSI</w:t>
            </w:r>
          </w:p>
        </w:tc>
        <w:tc>
          <w:tcPr>
            <w:tcW w:w="17" w:type="pct"/>
          </w:tcPr>
          <w:p w14:paraId="086E0027" w14:textId="77777777" w:rsidR="0001065E" w:rsidRPr="002823D2" w:rsidRDefault="0001065E" w:rsidP="005A5F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17" w:type="pct"/>
          </w:tcPr>
          <w:p w14:paraId="7F0889B1" w14:textId="77777777" w:rsidR="0001065E" w:rsidRPr="002823D2" w:rsidRDefault="0001065E" w:rsidP="005A5F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</w:tbl>
    <w:p w14:paraId="6090B935" w14:textId="389A6E88" w:rsidR="00AD7E3F" w:rsidRPr="00AD7E3F" w:rsidRDefault="00AD7E3F" w:rsidP="00AD7E3F">
      <w:pPr>
        <w:tabs>
          <w:tab w:val="left" w:pos="3041"/>
        </w:tabs>
        <w:rPr>
          <w:rFonts w:asciiTheme="majorBidi" w:hAnsiTheme="majorBidi" w:cstheme="majorBidi"/>
          <w:sz w:val="24"/>
          <w:szCs w:val="24"/>
          <w:lang w:val="sq-AL"/>
        </w:rPr>
      </w:pPr>
    </w:p>
    <w:sectPr w:rsidR="00AD7E3F" w:rsidRPr="00AD7E3F" w:rsidSect="00BE6C9C">
      <w:type w:val="continuous"/>
      <w:pgSz w:w="12240" w:h="15840" w:code="1"/>
      <w:pgMar w:top="1440" w:right="1608" w:bottom="1440" w:left="1440" w:header="360" w:footer="720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338C" w14:textId="77777777" w:rsidR="006B155C" w:rsidRDefault="006B155C">
      <w:pPr>
        <w:spacing w:after="0"/>
      </w:pPr>
      <w:r>
        <w:separator/>
      </w:r>
    </w:p>
    <w:p w14:paraId="38A7587A" w14:textId="77777777" w:rsidR="006B155C" w:rsidRDefault="006B155C"/>
    <w:p w14:paraId="06FA1944" w14:textId="77777777" w:rsidR="006B155C" w:rsidRDefault="006B155C"/>
  </w:endnote>
  <w:endnote w:type="continuationSeparator" w:id="0">
    <w:p w14:paraId="1BCD6561" w14:textId="77777777" w:rsidR="006B155C" w:rsidRDefault="006B155C">
      <w:pPr>
        <w:spacing w:after="0"/>
      </w:pPr>
      <w:r>
        <w:continuationSeparator/>
      </w:r>
    </w:p>
    <w:p w14:paraId="31B703F8" w14:textId="77777777" w:rsidR="006B155C" w:rsidRDefault="006B155C"/>
    <w:p w14:paraId="552010BE" w14:textId="77777777" w:rsidR="006B155C" w:rsidRDefault="006B1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B159" w14:textId="77777777" w:rsidR="006B155C" w:rsidRDefault="006B155C">
      <w:pPr>
        <w:spacing w:after="0"/>
      </w:pPr>
      <w:r>
        <w:separator/>
      </w:r>
    </w:p>
    <w:p w14:paraId="518E6259" w14:textId="77777777" w:rsidR="006B155C" w:rsidRDefault="006B155C"/>
    <w:p w14:paraId="5E5FC0F4" w14:textId="77777777" w:rsidR="006B155C" w:rsidRDefault="006B155C"/>
  </w:footnote>
  <w:footnote w:type="continuationSeparator" w:id="0">
    <w:p w14:paraId="5E4BE4DE" w14:textId="77777777" w:rsidR="006B155C" w:rsidRDefault="006B155C">
      <w:pPr>
        <w:spacing w:after="0"/>
      </w:pPr>
      <w:r>
        <w:continuationSeparator/>
      </w:r>
    </w:p>
    <w:p w14:paraId="20980586" w14:textId="77777777" w:rsidR="006B155C" w:rsidRDefault="006B155C"/>
    <w:p w14:paraId="0318963D" w14:textId="77777777" w:rsidR="006B155C" w:rsidRDefault="006B155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3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07"/>
      <w:gridCol w:w="4921"/>
    </w:tblGrid>
    <w:tr w:rsidR="00F06B00" w:rsidRPr="00FB117D" w14:paraId="33F69501" w14:textId="77777777" w:rsidTr="009A5581">
      <w:trPr>
        <w:jc w:val="center"/>
      </w:trPr>
      <w:tc>
        <w:tcPr>
          <w:tcW w:w="4536" w:type="dxa"/>
        </w:tcPr>
        <w:p w14:paraId="22188C2E" w14:textId="3B6BE3EB" w:rsidR="00F06B00" w:rsidRPr="00BD2D60" w:rsidRDefault="00F06B00" w:rsidP="00301AD1">
          <w:pPr>
            <w:pStyle w:val="Header"/>
            <w:rPr>
              <w:szCs w:val="22"/>
            </w:rPr>
          </w:pPr>
          <w:r w:rsidRPr="00BD2D60">
            <w:rPr>
              <w:szCs w:val="22"/>
            </w:rPr>
            <w:t xml:space="preserve">BULETINI MUJOR I SEMUNDSHMERISE INFEKTIVE, </w:t>
          </w:r>
          <w:r>
            <w:rPr>
              <w:szCs w:val="22"/>
            </w:rPr>
            <w:t>Gusht 2025</w:t>
          </w:r>
        </w:p>
      </w:tc>
      <w:tc>
        <w:tcPr>
          <w:tcW w:w="4845" w:type="dxa"/>
        </w:tcPr>
        <w:p w14:paraId="22C67EAE" w14:textId="3FFB3A11" w:rsidR="00F06B00" w:rsidRPr="00BD2D60" w:rsidRDefault="00F06B00" w:rsidP="00FB117D">
          <w:pPr>
            <w:pStyle w:val="Header"/>
            <w:jc w:val="right"/>
            <w:rPr>
              <w:rStyle w:val="PageNumber"/>
              <w:szCs w:val="22"/>
            </w:rPr>
          </w:pPr>
          <w:r w:rsidRPr="00BD2D60">
            <w:rPr>
              <w:rStyle w:val="PageNumber"/>
              <w:szCs w:val="22"/>
            </w:rPr>
            <w:fldChar w:fldCharType="begin"/>
          </w:r>
          <w:r w:rsidRPr="00BD2D60">
            <w:rPr>
              <w:rStyle w:val="PageNumber"/>
              <w:szCs w:val="22"/>
            </w:rPr>
            <w:instrText xml:space="preserve"> PAGE   \* MERGEFORMAT </w:instrText>
          </w:r>
          <w:r w:rsidRPr="00BD2D60">
            <w:rPr>
              <w:rStyle w:val="PageNumber"/>
              <w:szCs w:val="22"/>
            </w:rPr>
            <w:fldChar w:fldCharType="separate"/>
          </w:r>
          <w:r w:rsidR="00304E54">
            <w:rPr>
              <w:rStyle w:val="PageNumber"/>
              <w:noProof/>
              <w:szCs w:val="22"/>
            </w:rPr>
            <w:t>11</w:t>
          </w:r>
          <w:r w:rsidRPr="00BD2D60">
            <w:rPr>
              <w:rStyle w:val="PageNumber"/>
              <w:szCs w:val="22"/>
            </w:rPr>
            <w:fldChar w:fldCharType="end"/>
          </w:r>
        </w:p>
      </w:tc>
    </w:tr>
  </w:tbl>
  <w:p w14:paraId="15BF1F42" w14:textId="619B73CD" w:rsidR="00F06B00" w:rsidRDefault="00F06B00">
    <w:pPr>
      <w:pStyle w:val="NoSpacing"/>
      <w:ind w:left="-218"/>
    </w:pPr>
    <w:r>
      <mc:AlternateContent>
        <mc:Choice Requires="wps">
          <w:drawing>
            <wp:inline distT="0" distB="0" distL="0" distR="0" wp14:anchorId="1C381AE1" wp14:editId="5736850F">
              <wp:extent cx="7305040" cy="137160"/>
              <wp:effectExtent l="0" t="0" r="635" b="0"/>
              <wp:docPr id="2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rgbClr val="FF5C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rect w14:anchorId="6BE0F2D3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" fillcolor="#ff5c0b" stroked="f" strokeweight="2pt">
              <o:lock v:ext="edit" aspectratio="t"/>
              <w10:anchorlock/>
            </v:rect>
          </w:pict>
        </mc:Fallback>
      </mc:AlternateContent>
    </w:r>
  </w:p>
  <w:p w14:paraId="601EDCEC" w14:textId="77777777" w:rsidR="00F06B00" w:rsidRDefault="00F06B00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91" w:type="dxa"/>
      <w:tblInd w:w="-2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5"/>
    </w:tblGrid>
    <w:tr w:rsidR="00F06B00" w:rsidRPr="00FB117D" w14:paraId="46A51694" w14:textId="77777777" w:rsidTr="00FB117D">
      <w:trPr>
        <w:cantSplit/>
      </w:trPr>
      <w:tc>
        <w:tcPr>
          <w:tcW w:w="5746" w:type="dxa"/>
          <w:vAlign w:val="bottom"/>
        </w:tcPr>
        <w:p w14:paraId="0CF55C59" w14:textId="77777777" w:rsidR="00F06B00" w:rsidRPr="00BD2D60" w:rsidRDefault="00F06B00" w:rsidP="004B68E3">
          <w:pPr>
            <w:pStyle w:val="Header"/>
            <w:rPr>
              <w:szCs w:val="22"/>
            </w:rPr>
          </w:pPr>
          <w:r w:rsidRPr="00BD2D60">
            <w:rPr>
              <w:szCs w:val="22"/>
            </w:rPr>
            <w:t>BULETINI MUJOR I SEMUNDSHMERISE INFEKTIVE</w:t>
          </w:r>
        </w:p>
      </w:tc>
      <w:tc>
        <w:tcPr>
          <w:tcW w:w="5746" w:type="dxa"/>
          <w:vAlign w:val="bottom"/>
        </w:tcPr>
        <w:p w14:paraId="3BE4768F" w14:textId="77777777" w:rsidR="00F06B00" w:rsidRPr="00BD2D60" w:rsidRDefault="00F06B00">
          <w:pPr>
            <w:pStyle w:val="IssueNumber"/>
            <w:rPr>
              <w:szCs w:val="22"/>
            </w:rPr>
          </w:pPr>
          <w:r w:rsidRPr="00BD2D60">
            <w:rPr>
              <w:szCs w:val="22"/>
            </w:rPr>
            <w:t xml:space="preserve">ISHP </w:t>
          </w:r>
        </w:p>
      </w:tc>
    </w:tr>
  </w:tbl>
  <w:p w14:paraId="4660024F" w14:textId="77777777" w:rsidR="00F06B00" w:rsidRDefault="00F06B0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A28C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1B46930"/>
    <w:lvl w:ilvl="0">
      <w:start w:val="1"/>
      <w:numFmt w:val="bullet"/>
      <w:pStyle w:val="ListBullet"/>
      <w:lvlText w:val="Ü"/>
      <w:lvlJc w:val="left"/>
      <w:pPr>
        <w:ind w:left="360" w:hanging="360"/>
      </w:pPr>
      <w:rPr>
        <w:rFonts w:ascii="Wingdings" w:hAnsi="Wingdings" w:hint="default"/>
        <w:color w:val="FF5C0B"/>
      </w:rPr>
    </w:lvl>
  </w:abstractNum>
  <w:abstractNum w:abstractNumId="3" w15:restartNumberingAfterBreak="0">
    <w:nsid w:val="03CD0892"/>
    <w:multiLevelType w:val="hybridMultilevel"/>
    <w:tmpl w:val="F804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A29"/>
    <w:multiLevelType w:val="multilevel"/>
    <w:tmpl w:val="B074C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8210444"/>
    <w:multiLevelType w:val="multilevel"/>
    <w:tmpl w:val="0CD470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16323F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AA16979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FD62CFF"/>
    <w:multiLevelType w:val="hybridMultilevel"/>
    <w:tmpl w:val="3B6E499A"/>
    <w:lvl w:ilvl="0" w:tplc="F636186E">
      <w:start w:val="1"/>
      <w:numFmt w:val="bullet"/>
      <w:pStyle w:val="ListBullet2"/>
      <w:lvlText w:val="Ü"/>
      <w:lvlJc w:val="left"/>
      <w:pPr>
        <w:ind w:left="360" w:hanging="360"/>
      </w:pPr>
      <w:rPr>
        <w:rFonts w:ascii="Wingdings" w:hAnsi="Wingdings" w:hint="default"/>
        <w:color w:val="FFA8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57574"/>
    <w:multiLevelType w:val="hybridMultilevel"/>
    <w:tmpl w:val="E0F4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82F47"/>
    <w:multiLevelType w:val="multilevel"/>
    <w:tmpl w:val="6356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18273DC7"/>
    <w:multiLevelType w:val="hybridMultilevel"/>
    <w:tmpl w:val="6DFE3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64C92"/>
    <w:multiLevelType w:val="hybridMultilevel"/>
    <w:tmpl w:val="2702FCF6"/>
    <w:lvl w:ilvl="0" w:tplc="09D6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F9525A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2F8E284B"/>
    <w:multiLevelType w:val="hybridMultilevel"/>
    <w:tmpl w:val="DC02F8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6062A7"/>
    <w:multiLevelType w:val="hybridMultilevel"/>
    <w:tmpl w:val="C1FC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246C3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B7B1E3E"/>
    <w:multiLevelType w:val="multilevel"/>
    <w:tmpl w:val="E9C84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B16F26"/>
    <w:multiLevelType w:val="hybridMultilevel"/>
    <w:tmpl w:val="C838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A3043"/>
    <w:multiLevelType w:val="hybridMultilevel"/>
    <w:tmpl w:val="3760B2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400"/>
    <w:multiLevelType w:val="multilevel"/>
    <w:tmpl w:val="CAC09D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A7E1B7E"/>
    <w:multiLevelType w:val="hybridMultilevel"/>
    <w:tmpl w:val="E9F6019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FA7D0C"/>
    <w:multiLevelType w:val="multilevel"/>
    <w:tmpl w:val="17EAC1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F610CE3"/>
    <w:multiLevelType w:val="multilevel"/>
    <w:tmpl w:val="0CD470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E54056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5E7F02AA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68A41FE6"/>
    <w:multiLevelType w:val="hybridMultilevel"/>
    <w:tmpl w:val="719E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C0443"/>
    <w:multiLevelType w:val="multilevel"/>
    <w:tmpl w:val="6356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6EF63078"/>
    <w:multiLevelType w:val="hybridMultilevel"/>
    <w:tmpl w:val="A51813C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E62F1E"/>
    <w:multiLevelType w:val="hybridMultilevel"/>
    <w:tmpl w:val="AB2C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1AE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77776192"/>
    <w:multiLevelType w:val="multilevel"/>
    <w:tmpl w:val="CCC8CC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8E5338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77E27623"/>
    <w:multiLevelType w:val="hybridMultilevel"/>
    <w:tmpl w:val="2702FCF6"/>
    <w:lvl w:ilvl="0" w:tplc="09D6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CF6B1F"/>
    <w:multiLevelType w:val="hybridMultilevel"/>
    <w:tmpl w:val="9B0CAB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19"/>
  </w:num>
  <w:num w:numId="9">
    <w:abstractNumId w:val="28"/>
  </w:num>
  <w:num w:numId="10">
    <w:abstractNumId w:val="3"/>
  </w:num>
  <w:num w:numId="11">
    <w:abstractNumId w:val="11"/>
  </w:num>
  <w:num w:numId="12">
    <w:abstractNumId w:val="29"/>
  </w:num>
  <w:num w:numId="13">
    <w:abstractNumId w:val="9"/>
  </w:num>
  <w:num w:numId="14">
    <w:abstractNumId w:val="34"/>
  </w:num>
  <w:num w:numId="15">
    <w:abstractNumId w:val="27"/>
  </w:num>
  <w:num w:numId="16">
    <w:abstractNumId w:val="33"/>
  </w:num>
  <w:num w:numId="17">
    <w:abstractNumId w:val="12"/>
  </w:num>
  <w:num w:numId="18">
    <w:abstractNumId w:val="6"/>
  </w:num>
  <w:num w:numId="19">
    <w:abstractNumId w:val="14"/>
  </w:num>
  <w:num w:numId="20">
    <w:abstractNumId w:val="32"/>
  </w:num>
  <w:num w:numId="21">
    <w:abstractNumId w:val="21"/>
  </w:num>
  <w:num w:numId="22">
    <w:abstractNumId w:val="26"/>
  </w:num>
  <w:num w:numId="23">
    <w:abstractNumId w:val="30"/>
  </w:num>
  <w:num w:numId="24">
    <w:abstractNumId w:val="24"/>
  </w:num>
  <w:num w:numId="25">
    <w:abstractNumId w:val="7"/>
  </w:num>
  <w:num w:numId="26">
    <w:abstractNumId w:val="25"/>
  </w:num>
  <w:num w:numId="27">
    <w:abstractNumId w:val="16"/>
  </w:num>
  <w:num w:numId="28">
    <w:abstractNumId w:val="4"/>
  </w:num>
  <w:num w:numId="29">
    <w:abstractNumId w:val="13"/>
  </w:num>
  <w:num w:numId="30">
    <w:abstractNumId w:val="31"/>
  </w:num>
  <w:num w:numId="31">
    <w:abstractNumId w:val="5"/>
  </w:num>
  <w:num w:numId="32">
    <w:abstractNumId w:val="10"/>
  </w:num>
  <w:num w:numId="33">
    <w:abstractNumId w:val="23"/>
  </w:num>
  <w:num w:numId="34">
    <w:abstractNumId w:val="17"/>
  </w:num>
  <w:num w:numId="35">
    <w:abstractNumId w:val="20"/>
  </w:num>
  <w:num w:numId="36">
    <w:abstractNumId w:val="18"/>
  </w:num>
  <w:num w:numId="37">
    <w:abstractNumId w:val="1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D"/>
    <w:rsid w:val="00000B2E"/>
    <w:rsid w:val="00000D15"/>
    <w:rsid w:val="00000E70"/>
    <w:rsid w:val="00001A33"/>
    <w:rsid w:val="00002CBF"/>
    <w:rsid w:val="000033DA"/>
    <w:rsid w:val="00004185"/>
    <w:rsid w:val="00005990"/>
    <w:rsid w:val="00005FE8"/>
    <w:rsid w:val="00006316"/>
    <w:rsid w:val="00007DF8"/>
    <w:rsid w:val="0001065E"/>
    <w:rsid w:val="00010DBB"/>
    <w:rsid w:val="00011924"/>
    <w:rsid w:val="00011A90"/>
    <w:rsid w:val="000137A2"/>
    <w:rsid w:val="00013D9C"/>
    <w:rsid w:val="00014DC2"/>
    <w:rsid w:val="00015F49"/>
    <w:rsid w:val="00016726"/>
    <w:rsid w:val="00017795"/>
    <w:rsid w:val="000201CB"/>
    <w:rsid w:val="00020955"/>
    <w:rsid w:val="000219CA"/>
    <w:rsid w:val="00021A1A"/>
    <w:rsid w:val="00024B4B"/>
    <w:rsid w:val="00025E99"/>
    <w:rsid w:val="000262A5"/>
    <w:rsid w:val="00026A13"/>
    <w:rsid w:val="000329FE"/>
    <w:rsid w:val="00032C53"/>
    <w:rsid w:val="00035163"/>
    <w:rsid w:val="0003628C"/>
    <w:rsid w:val="000401AF"/>
    <w:rsid w:val="000413EC"/>
    <w:rsid w:val="00042539"/>
    <w:rsid w:val="00045179"/>
    <w:rsid w:val="00047516"/>
    <w:rsid w:val="00050331"/>
    <w:rsid w:val="0005215A"/>
    <w:rsid w:val="00052946"/>
    <w:rsid w:val="00052C6D"/>
    <w:rsid w:val="00053300"/>
    <w:rsid w:val="000536A5"/>
    <w:rsid w:val="000545E7"/>
    <w:rsid w:val="00054C36"/>
    <w:rsid w:val="00055857"/>
    <w:rsid w:val="00056665"/>
    <w:rsid w:val="00056773"/>
    <w:rsid w:val="00056B31"/>
    <w:rsid w:val="00056CC5"/>
    <w:rsid w:val="000604BE"/>
    <w:rsid w:val="000612AD"/>
    <w:rsid w:val="00061615"/>
    <w:rsid w:val="00062B3D"/>
    <w:rsid w:val="00063460"/>
    <w:rsid w:val="00065EEC"/>
    <w:rsid w:val="0006680A"/>
    <w:rsid w:val="000673CC"/>
    <w:rsid w:val="0006793D"/>
    <w:rsid w:val="000703CA"/>
    <w:rsid w:val="00070476"/>
    <w:rsid w:val="000729C2"/>
    <w:rsid w:val="00073016"/>
    <w:rsid w:val="00075752"/>
    <w:rsid w:val="000769FC"/>
    <w:rsid w:val="00077B8D"/>
    <w:rsid w:val="00080139"/>
    <w:rsid w:val="00080599"/>
    <w:rsid w:val="00080D5D"/>
    <w:rsid w:val="0008125B"/>
    <w:rsid w:val="00081EB7"/>
    <w:rsid w:val="0008500E"/>
    <w:rsid w:val="00085367"/>
    <w:rsid w:val="000862DB"/>
    <w:rsid w:val="000865A5"/>
    <w:rsid w:val="000865E1"/>
    <w:rsid w:val="00086AB0"/>
    <w:rsid w:val="000909E7"/>
    <w:rsid w:val="00090F35"/>
    <w:rsid w:val="00092271"/>
    <w:rsid w:val="00092F80"/>
    <w:rsid w:val="000950AC"/>
    <w:rsid w:val="000978A2"/>
    <w:rsid w:val="000A0269"/>
    <w:rsid w:val="000A0407"/>
    <w:rsid w:val="000A1824"/>
    <w:rsid w:val="000A1DA6"/>
    <w:rsid w:val="000A2AD5"/>
    <w:rsid w:val="000A311B"/>
    <w:rsid w:val="000A382B"/>
    <w:rsid w:val="000A420F"/>
    <w:rsid w:val="000A4822"/>
    <w:rsid w:val="000A531C"/>
    <w:rsid w:val="000A6010"/>
    <w:rsid w:val="000A60CB"/>
    <w:rsid w:val="000A73D4"/>
    <w:rsid w:val="000A7823"/>
    <w:rsid w:val="000A78F3"/>
    <w:rsid w:val="000B1C00"/>
    <w:rsid w:val="000B2BB2"/>
    <w:rsid w:val="000B4007"/>
    <w:rsid w:val="000B543F"/>
    <w:rsid w:val="000B6496"/>
    <w:rsid w:val="000B6A54"/>
    <w:rsid w:val="000C07E9"/>
    <w:rsid w:val="000C0B79"/>
    <w:rsid w:val="000C218D"/>
    <w:rsid w:val="000C2288"/>
    <w:rsid w:val="000C2400"/>
    <w:rsid w:val="000C3F82"/>
    <w:rsid w:val="000C41F4"/>
    <w:rsid w:val="000C538A"/>
    <w:rsid w:val="000C58E2"/>
    <w:rsid w:val="000C5E15"/>
    <w:rsid w:val="000C648A"/>
    <w:rsid w:val="000C68D8"/>
    <w:rsid w:val="000C6D99"/>
    <w:rsid w:val="000D11CF"/>
    <w:rsid w:val="000D15C0"/>
    <w:rsid w:val="000D28F1"/>
    <w:rsid w:val="000D3568"/>
    <w:rsid w:val="000D3AD4"/>
    <w:rsid w:val="000D4C43"/>
    <w:rsid w:val="000D59E1"/>
    <w:rsid w:val="000D663C"/>
    <w:rsid w:val="000D69B8"/>
    <w:rsid w:val="000D74F1"/>
    <w:rsid w:val="000D774E"/>
    <w:rsid w:val="000D77B2"/>
    <w:rsid w:val="000E03FF"/>
    <w:rsid w:val="000E184C"/>
    <w:rsid w:val="000E1BF8"/>
    <w:rsid w:val="000E2050"/>
    <w:rsid w:val="000E32DC"/>
    <w:rsid w:val="000E42B9"/>
    <w:rsid w:val="000E44F9"/>
    <w:rsid w:val="000E4EC0"/>
    <w:rsid w:val="000E5EEE"/>
    <w:rsid w:val="000E68E9"/>
    <w:rsid w:val="000F02AD"/>
    <w:rsid w:val="000F1480"/>
    <w:rsid w:val="000F185C"/>
    <w:rsid w:val="000F3CE8"/>
    <w:rsid w:val="000F3CF1"/>
    <w:rsid w:val="000F498F"/>
    <w:rsid w:val="000F6497"/>
    <w:rsid w:val="000F6F11"/>
    <w:rsid w:val="0010043D"/>
    <w:rsid w:val="00100D3C"/>
    <w:rsid w:val="0010188E"/>
    <w:rsid w:val="001028DD"/>
    <w:rsid w:val="00104516"/>
    <w:rsid w:val="0010493C"/>
    <w:rsid w:val="00105008"/>
    <w:rsid w:val="00105E60"/>
    <w:rsid w:val="00107CAD"/>
    <w:rsid w:val="0011138E"/>
    <w:rsid w:val="00111D8E"/>
    <w:rsid w:val="0011201C"/>
    <w:rsid w:val="0011470D"/>
    <w:rsid w:val="00114C94"/>
    <w:rsid w:val="00115855"/>
    <w:rsid w:val="00117E29"/>
    <w:rsid w:val="00127B22"/>
    <w:rsid w:val="00127B2A"/>
    <w:rsid w:val="001314B5"/>
    <w:rsid w:val="001359F0"/>
    <w:rsid w:val="0013616C"/>
    <w:rsid w:val="00136F92"/>
    <w:rsid w:val="0013708F"/>
    <w:rsid w:val="0013780B"/>
    <w:rsid w:val="001403FA"/>
    <w:rsid w:val="001411A9"/>
    <w:rsid w:val="001416F6"/>
    <w:rsid w:val="00142FDA"/>
    <w:rsid w:val="0014361C"/>
    <w:rsid w:val="0014489A"/>
    <w:rsid w:val="00145748"/>
    <w:rsid w:val="00145D95"/>
    <w:rsid w:val="001467C2"/>
    <w:rsid w:val="001508F3"/>
    <w:rsid w:val="00150E56"/>
    <w:rsid w:val="00151187"/>
    <w:rsid w:val="00151C4E"/>
    <w:rsid w:val="00152353"/>
    <w:rsid w:val="001527C0"/>
    <w:rsid w:val="0015365F"/>
    <w:rsid w:val="00155352"/>
    <w:rsid w:val="00155358"/>
    <w:rsid w:val="00156045"/>
    <w:rsid w:val="00157CD5"/>
    <w:rsid w:val="001601B9"/>
    <w:rsid w:val="0016194A"/>
    <w:rsid w:val="00162BA7"/>
    <w:rsid w:val="00163AD8"/>
    <w:rsid w:val="001641A7"/>
    <w:rsid w:val="00167025"/>
    <w:rsid w:val="001671CF"/>
    <w:rsid w:val="00170878"/>
    <w:rsid w:val="00170953"/>
    <w:rsid w:val="00170B5B"/>
    <w:rsid w:val="00171323"/>
    <w:rsid w:val="001733AA"/>
    <w:rsid w:val="0017376D"/>
    <w:rsid w:val="00173869"/>
    <w:rsid w:val="001743C4"/>
    <w:rsid w:val="00174B6B"/>
    <w:rsid w:val="00176EC9"/>
    <w:rsid w:val="001776DE"/>
    <w:rsid w:val="00184447"/>
    <w:rsid w:val="00184584"/>
    <w:rsid w:val="00184A3E"/>
    <w:rsid w:val="001869B2"/>
    <w:rsid w:val="001873B6"/>
    <w:rsid w:val="00187A07"/>
    <w:rsid w:val="0019261C"/>
    <w:rsid w:val="001938D1"/>
    <w:rsid w:val="00193F8F"/>
    <w:rsid w:val="00195C7A"/>
    <w:rsid w:val="001960BF"/>
    <w:rsid w:val="001963C3"/>
    <w:rsid w:val="00196B31"/>
    <w:rsid w:val="00197302"/>
    <w:rsid w:val="00197A7A"/>
    <w:rsid w:val="001A024F"/>
    <w:rsid w:val="001A187E"/>
    <w:rsid w:val="001A2BED"/>
    <w:rsid w:val="001A49F4"/>
    <w:rsid w:val="001A5E62"/>
    <w:rsid w:val="001A6F41"/>
    <w:rsid w:val="001A77AB"/>
    <w:rsid w:val="001B0CF0"/>
    <w:rsid w:val="001B3360"/>
    <w:rsid w:val="001B3CE9"/>
    <w:rsid w:val="001B4187"/>
    <w:rsid w:val="001B4A60"/>
    <w:rsid w:val="001B5152"/>
    <w:rsid w:val="001B583E"/>
    <w:rsid w:val="001B5A99"/>
    <w:rsid w:val="001B7CBE"/>
    <w:rsid w:val="001C0764"/>
    <w:rsid w:val="001C0C12"/>
    <w:rsid w:val="001C1069"/>
    <w:rsid w:val="001C20AE"/>
    <w:rsid w:val="001C21FB"/>
    <w:rsid w:val="001C2CEB"/>
    <w:rsid w:val="001C45AF"/>
    <w:rsid w:val="001C4EE2"/>
    <w:rsid w:val="001C5C55"/>
    <w:rsid w:val="001C6248"/>
    <w:rsid w:val="001C75FC"/>
    <w:rsid w:val="001C7F47"/>
    <w:rsid w:val="001D07F6"/>
    <w:rsid w:val="001D15CA"/>
    <w:rsid w:val="001D1C64"/>
    <w:rsid w:val="001D2D62"/>
    <w:rsid w:val="001D2E63"/>
    <w:rsid w:val="001D37E4"/>
    <w:rsid w:val="001D4684"/>
    <w:rsid w:val="001D4B0C"/>
    <w:rsid w:val="001D65C5"/>
    <w:rsid w:val="001D6DFE"/>
    <w:rsid w:val="001E1125"/>
    <w:rsid w:val="001E19E2"/>
    <w:rsid w:val="001E2AC2"/>
    <w:rsid w:val="001E2D63"/>
    <w:rsid w:val="001E2EB3"/>
    <w:rsid w:val="001E5693"/>
    <w:rsid w:val="001E5DA3"/>
    <w:rsid w:val="001E6868"/>
    <w:rsid w:val="001E6EA3"/>
    <w:rsid w:val="001F1BBD"/>
    <w:rsid w:val="001F1DBC"/>
    <w:rsid w:val="001F2619"/>
    <w:rsid w:val="001F261B"/>
    <w:rsid w:val="001F27A9"/>
    <w:rsid w:val="001F2E8E"/>
    <w:rsid w:val="001F4E18"/>
    <w:rsid w:val="001F6AA6"/>
    <w:rsid w:val="001F7D08"/>
    <w:rsid w:val="00201C97"/>
    <w:rsid w:val="00202352"/>
    <w:rsid w:val="00202F8C"/>
    <w:rsid w:val="002039E5"/>
    <w:rsid w:val="00205270"/>
    <w:rsid w:val="00205CE0"/>
    <w:rsid w:val="0020690B"/>
    <w:rsid w:val="00206A65"/>
    <w:rsid w:val="00211FB9"/>
    <w:rsid w:val="00213B34"/>
    <w:rsid w:val="00214236"/>
    <w:rsid w:val="002148C9"/>
    <w:rsid w:val="00214E33"/>
    <w:rsid w:val="00215708"/>
    <w:rsid w:val="00216626"/>
    <w:rsid w:val="00216957"/>
    <w:rsid w:val="00216E8E"/>
    <w:rsid w:val="00216EF3"/>
    <w:rsid w:val="002174F2"/>
    <w:rsid w:val="00217FDA"/>
    <w:rsid w:val="002216F9"/>
    <w:rsid w:val="00222898"/>
    <w:rsid w:val="0022387F"/>
    <w:rsid w:val="002248B5"/>
    <w:rsid w:val="00225416"/>
    <w:rsid w:val="00225D0F"/>
    <w:rsid w:val="00226347"/>
    <w:rsid w:val="0022769F"/>
    <w:rsid w:val="00227F43"/>
    <w:rsid w:val="00230B2B"/>
    <w:rsid w:val="00233C70"/>
    <w:rsid w:val="00234760"/>
    <w:rsid w:val="00235C1F"/>
    <w:rsid w:val="002365CA"/>
    <w:rsid w:val="00241BF2"/>
    <w:rsid w:val="00245823"/>
    <w:rsid w:val="00247A78"/>
    <w:rsid w:val="0025083B"/>
    <w:rsid w:val="0025103D"/>
    <w:rsid w:val="00252466"/>
    <w:rsid w:val="002536FA"/>
    <w:rsid w:val="002537C3"/>
    <w:rsid w:val="00253D18"/>
    <w:rsid w:val="00254160"/>
    <w:rsid w:val="0025508E"/>
    <w:rsid w:val="0025578D"/>
    <w:rsid w:val="0025587A"/>
    <w:rsid w:val="002579E7"/>
    <w:rsid w:val="002601A6"/>
    <w:rsid w:val="00263697"/>
    <w:rsid w:val="00264A67"/>
    <w:rsid w:val="0026621A"/>
    <w:rsid w:val="0026701C"/>
    <w:rsid w:val="0027178C"/>
    <w:rsid w:val="002744FE"/>
    <w:rsid w:val="00274B9D"/>
    <w:rsid w:val="002754BE"/>
    <w:rsid w:val="0027562A"/>
    <w:rsid w:val="00276013"/>
    <w:rsid w:val="0027638B"/>
    <w:rsid w:val="002765F2"/>
    <w:rsid w:val="00276AF3"/>
    <w:rsid w:val="002802EB"/>
    <w:rsid w:val="0028110C"/>
    <w:rsid w:val="002812C6"/>
    <w:rsid w:val="002817A8"/>
    <w:rsid w:val="002823D2"/>
    <w:rsid w:val="002827A0"/>
    <w:rsid w:val="00282A86"/>
    <w:rsid w:val="00283440"/>
    <w:rsid w:val="002835B7"/>
    <w:rsid w:val="0028403B"/>
    <w:rsid w:val="002861D4"/>
    <w:rsid w:val="00290A79"/>
    <w:rsid w:val="00291369"/>
    <w:rsid w:val="002920B1"/>
    <w:rsid w:val="002927FE"/>
    <w:rsid w:val="00293F41"/>
    <w:rsid w:val="0029507B"/>
    <w:rsid w:val="0029588A"/>
    <w:rsid w:val="00296939"/>
    <w:rsid w:val="002A05A8"/>
    <w:rsid w:val="002A1892"/>
    <w:rsid w:val="002A1C0B"/>
    <w:rsid w:val="002A24F2"/>
    <w:rsid w:val="002A296F"/>
    <w:rsid w:val="002A2B0F"/>
    <w:rsid w:val="002A2D6B"/>
    <w:rsid w:val="002A3684"/>
    <w:rsid w:val="002A4AED"/>
    <w:rsid w:val="002A4F3B"/>
    <w:rsid w:val="002A5F2D"/>
    <w:rsid w:val="002A6037"/>
    <w:rsid w:val="002A6737"/>
    <w:rsid w:val="002A787E"/>
    <w:rsid w:val="002B0905"/>
    <w:rsid w:val="002B09EF"/>
    <w:rsid w:val="002B313B"/>
    <w:rsid w:val="002B4013"/>
    <w:rsid w:val="002B48DD"/>
    <w:rsid w:val="002B56F5"/>
    <w:rsid w:val="002B577B"/>
    <w:rsid w:val="002B5ECD"/>
    <w:rsid w:val="002B706A"/>
    <w:rsid w:val="002B78F1"/>
    <w:rsid w:val="002C008E"/>
    <w:rsid w:val="002C53F8"/>
    <w:rsid w:val="002C5400"/>
    <w:rsid w:val="002C703E"/>
    <w:rsid w:val="002C762F"/>
    <w:rsid w:val="002C7FA9"/>
    <w:rsid w:val="002D01E9"/>
    <w:rsid w:val="002D0D76"/>
    <w:rsid w:val="002D182B"/>
    <w:rsid w:val="002D2432"/>
    <w:rsid w:val="002D281A"/>
    <w:rsid w:val="002D392B"/>
    <w:rsid w:val="002D4B8B"/>
    <w:rsid w:val="002D5FC0"/>
    <w:rsid w:val="002D63F8"/>
    <w:rsid w:val="002D646D"/>
    <w:rsid w:val="002D661E"/>
    <w:rsid w:val="002D7115"/>
    <w:rsid w:val="002D77F1"/>
    <w:rsid w:val="002D7ED2"/>
    <w:rsid w:val="002E01CB"/>
    <w:rsid w:val="002E1161"/>
    <w:rsid w:val="002E2DDD"/>
    <w:rsid w:val="002E43F6"/>
    <w:rsid w:val="002E6346"/>
    <w:rsid w:val="002E7441"/>
    <w:rsid w:val="002F0683"/>
    <w:rsid w:val="002F4AB0"/>
    <w:rsid w:val="002F594D"/>
    <w:rsid w:val="002F5AAA"/>
    <w:rsid w:val="002F5D47"/>
    <w:rsid w:val="002F61D1"/>
    <w:rsid w:val="002F63BE"/>
    <w:rsid w:val="0030089B"/>
    <w:rsid w:val="0030117F"/>
    <w:rsid w:val="00301AD1"/>
    <w:rsid w:val="003029B0"/>
    <w:rsid w:val="003036B6"/>
    <w:rsid w:val="003045CE"/>
    <w:rsid w:val="00304C66"/>
    <w:rsid w:val="00304E54"/>
    <w:rsid w:val="0030676E"/>
    <w:rsid w:val="00307586"/>
    <w:rsid w:val="00310799"/>
    <w:rsid w:val="00310BA6"/>
    <w:rsid w:val="00311F7C"/>
    <w:rsid w:val="00312AB8"/>
    <w:rsid w:val="00313EA8"/>
    <w:rsid w:val="00314E43"/>
    <w:rsid w:val="00315609"/>
    <w:rsid w:val="00315EA0"/>
    <w:rsid w:val="00316402"/>
    <w:rsid w:val="00316BC4"/>
    <w:rsid w:val="00316D97"/>
    <w:rsid w:val="00320242"/>
    <w:rsid w:val="003208A6"/>
    <w:rsid w:val="003221D3"/>
    <w:rsid w:val="00322F4C"/>
    <w:rsid w:val="0032721F"/>
    <w:rsid w:val="00327867"/>
    <w:rsid w:val="00330006"/>
    <w:rsid w:val="003308EF"/>
    <w:rsid w:val="00330EC9"/>
    <w:rsid w:val="0033148D"/>
    <w:rsid w:val="003318F2"/>
    <w:rsid w:val="003342EB"/>
    <w:rsid w:val="00336440"/>
    <w:rsid w:val="0034088B"/>
    <w:rsid w:val="003408F6"/>
    <w:rsid w:val="00340BDA"/>
    <w:rsid w:val="00341A1B"/>
    <w:rsid w:val="00343707"/>
    <w:rsid w:val="00343926"/>
    <w:rsid w:val="00343A66"/>
    <w:rsid w:val="00344D26"/>
    <w:rsid w:val="00345CF8"/>
    <w:rsid w:val="00345EA5"/>
    <w:rsid w:val="003460D3"/>
    <w:rsid w:val="00346A40"/>
    <w:rsid w:val="00347D63"/>
    <w:rsid w:val="00350E77"/>
    <w:rsid w:val="003518D5"/>
    <w:rsid w:val="00352DE8"/>
    <w:rsid w:val="00352F5D"/>
    <w:rsid w:val="003537D6"/>
    <w:rsid w:val="00354C44"/>
    <w:rsid w:val="003557B9"/>
    <w:rsid w:val="00356E50"/>
    <w:rsid w:val="00356EC8"/>
    <w:rsid w:val="00356EFC"/>
    <w:rsid w:val="00361390"/>
    <w:rsid w:val="00361573"/>
    <w:rsid w:val="00361BCA"/>
    <w:rsid w:val="003627ED"/>
    <w:rsid w:val="00362FBE"/>
    <w:rsid w:val="00363571"/>
    <w:rsid w:val="003664F6"/>
    <w:rsid w:val="0036683F"/>
    <w:rsid w:val="003700A5"/>
    <w:rsid w:val="0037086C"/>
    <w:rsid w:val="003710DF"/>
    <w:rsid w:val="003712A8"/>
    <w:rsid w:val="00371464"/>
    <w:rsid w:val="00372F6B"/>
    <w:rsid w:val="0037416A"/>
    <w:rsid w:val="00375115"/>
    <w:rsid w:val="00375213"/>
    <w:rsid w:val="0037526D"/>
    <w:rsid w:val="003759F8"/>
    <w:rsid w:val="00376768"/>
    <w:rsid w:val="00377044"/>
    <w:rsid w:val="0038007F"/>
    <w:rsid w:val="0038009F"/>
    <w:rsid w:val="00380596"/>
    <w:rsid w:val="00381BB0"/>
    <w:rsid w:val="00381F8F"/>
    <w:rsid w:val="00382FFE"/>
    <w:rsid w:val="003839D6"/>
    <w:rsid w:val="00385528"/>
    <w:rsid w:val="0038575E"/>
    <w:rsid w:val="00385B20"/>
    <w:rsid w:val="00386D2E"/>
    <w:rsid w:val="003902EB"/>
    <w:rsid w:val="0039125C"/>
    <w:rsid w:val="003921AA"/>
    <w:rsid w:val="00392E16"/>
    <w:rsid w:val="003930F3"/>
    <w:rsid w:val="00393B0C"/>
    <w:rsid w:val="003947E6"/>
    <w:rsid w:val="003A0FC2"/>
    <w:rsid w:val="003A19F2"/>
    <w:rsid w:val="003A1E90"/>
    <w:rsid w:val="003A2DE2"/>
    <w:rsid w:val="003A46C6"/>
    <w:rsid w:val="003A48F9"/>
    <w:rsid w:val="003A49D2"/>
    <w:rsid w:val="003A4B00"/>
    <w:rsid w:val="003A69D6"/>
    <w:rsid w:val="003A6B96"/>
    <w:rsid w:val="003B1B10"/>
    <w:rsid w:val="003B45C4"/>
    <w:rsid w:val="003B5227"/>
    <w:rsid w:val="003B541B"/>
    <w:rsid w:val="003B782A"/>
    <w:rsid w:val="003C006B"/>
    <w:rsid w:val="003C2D10"/>
    <w:rsid w:val="003C2F45"/>
    <w:rsid w:val="003C38A3"/>
    <w:rsid w:val="003C44C8"/>
    <w:rsid w:val="003C52D5"/>
    <w:rsid w:val="003C6A69"/>
    <w:rsid w:val="003C7C76"/>
    <w:rsid w:val="003C7F35"/>
    <w:rsid w:val="003D3404"/>
    <w:rsid w:val="003D3E91"/>
    <w:rsid w:val="003D410A"/>
    <w:rsid w:val="003D439F"/>
    <w:rsid w:val="003D535C"/>
    <w:rsid w:val="003D66BC"/>
    <w:rsid w:val="003D6785"/>
    <w:rsid w:val="003D67A2"/>
    <w:rsid w:val="003D7831"/>
    <w:rsid w:val="003E052E"/>
    <w:rsid w:val="003E0F2C"/>
    <w:rsid w:val="003E220B"/>
    <w:rsid w:val="003E2A16"/>
    <w:rsid w:val="003E418B"/>
    <w:rsid w:val="003E5B46"/>
    <w:rsid w:val="003E68F5"/>
    <w:rsid w:val="003E7CBC"/>
    <w:rsid w:val="003E7CBD"/>
    <w:rsid w:val="003F0500"/>
    <w:rsid w:val="003F2028"/>
    <w:rsid w:val="003F2331"/>
    <w:rsid w:val="003F4B9C"/>
    <w:rsid w:val="003F4BF3"/>
    <w:rsid w:val="003F57B7"/>
    <w:rsid w:val="003F731A"/>
    <w:rsid w:val="003F7E68"/>
    <w:rsid w:val="004009CF"/>
    <w:rsid w:val="00401929"/>
    <w:rsid w:val="00401DF4"/>
    <w:rsid w:val="00402257"/>
    <w:rsid w:val="004022AF"/>
    <w:rsid w:val="00402849"/>
    <w:rsid w:val="00405A79"/>
    <w:rsid w:val="00406604"/>
    <w:rsid w:val="004075B1"/>
    <w:rsid w:val="004076AD"/>
    <w:rsid w:val="00410BDC"/>
    <w:rsid w:val="00411816"/>
    <w:rsid w:val="004118B5"/>
    <w:rsid w:val="00412856"/>
    <w:rsid w:val="00412C62"/>
    <w:rsid w:val="00413E03"/>
    <w:rsid w:val="00413EAF"/>
    <w:rsid w:val="0041485A"/>
    <w:rsid w:val="00414EB7"/>
    <w:rsid w:val="00417401"/>
    <w:rsid w:val="004200DE"/>
    <w:rsid w:val="00421495"/>
    <w:rsid w:val="00421926"/>
    <w:rsid w:val="00422D9D"/>
    <w:rsid w:val="0042430E"/>
    <w:rsid w:val="004251EF"/>
    <w:rsid w:val="00425A81"/>
    <w:rsid w:val="0042605D"/>
    <w:rsid w:val="00426BEF"/>
    <w:rsid w:val="00427A02"/>
    <w:rsid w:val="0043042A"/>
    <w:rsid w:val="004329DD"/>
    <w:rsid w:val="0043460B"/>
    <w:rsid w:val="00434D4E"/>
    <w:rsid w:val="0043517C"/>
    <w:rsid w:val="004356B6"/>
    <w:rsid w:val="004362F0"/>
    <w:rsid w:val="00440C34"/>
    <w:rsid w:val="00442209"/>
    <w:rsid w:val="004424E5"/>
    <w:rsid w:val="004426B7"/>
    <w:rsid w:val="00443012"/>
    <w:rsid w:val="0044534E"/>
    <w:rsid w:val="0044594F"/>
    <w:rsid w:val="0044610D"/>
    <w:rsid w:val="00446666"/>
    <w:rsid w:val="00446D9B"/>
    <w:rsid w:val="00447900"/>
    <w:rsid w:val="00447A9D"/>
    <w:rsid w:val="00451901"/>
    <w:rsid w:val="00453717"/>
    <w:rsid w:val="00454818"/>
    <w:rsid w:val="00455DF1"/>
    <w:rsid w:val="00455F52"/>
    <w:rsid w:val="0045635A"/>
    <w:rsid w:val="004570B6"/>
    <w:rsid w:val="0046014C"/>
    <w:rsid w:val="00460407"/>
    <w:rsid w:val="004620A2"/>
    <w:rsid w:val="00462D78"/>
    <w:rsid w:val="00463A64"/>
    <w:rsid w:val="0046489A"/>
    <w:rsid w:val="00466425"/>
    <w:rsid w:val="00466607"/>
    <w:rsid w:val="00470473"/>
    <w:rsid w:val="0047198E"/>
    <w:rsid w:val="00472D61"/>
    <w:rsid w:val="0047324F"/>
    <w:rsid w:val="00475007"/>
    <w:rsid w:val="0047537A"/>
    <w:rsid w:val="0047555E"/>
    <w:rsid w:val="00477600"/>
    <w:rsid w:val="00477674"/>
    <w:rsid w:val="0048034C"/>
    <w:rsid w:val="00480608"/>
    <w:rsid w:val="004807A0"/>
    <w:rsid w:val="00480A04"/>
    <w:rsid w:val="00480DA9"/>
    <w:rsid w:val="00481518"/>
    <w:rsid w:val="00482D0C"/>
    <w:rsid w:val="0048481C"/>
    <w:rsid w:val="004854A9"/>
    <w:rsid w:val="004932A2"/>
    <w:rsid w:val="004936B5"/>
    <w:rsid w:val="00494AB3"/>
    <w:rsid w:val="00495735"/>
    <w:rsid w:val="004960A9"/>
    <w:rsid w:val="00496D15"/>
    <w:rsid w:val="00496E4E"/>
    <w:rsid w:val="00497593"/>
    <w:rsid w:val="00497662"/>
    <w:rsid w:val="00497F68"/>
    <w:rsid w:val="004A033C"/>
    <w:rsid w:val="004A2707"/>
    <w:rsid w:val="004A7696"/>
    <w:rsid w:val="004A7BD6"/>
    <w:rsid w:val="004B084E"/>
    <w:rsid w:val="004B140C"/>
    <w:rsid w:val="004B1FD5"/>
    <w:rsid w:val="004B29A3"/>
    <w:rsid w:val="004B2AF2"/>
    <w:rsid w:val="004B3953"/>
    <w:rsid w:val="004B68E3"/>
    <w:rsid w:val="004B7007"/>
    <w:rsid w:val="004B7556"/>
    <w:rsid w:val="004B7C43"/>
    <w:rsid w:val="004C22F6"/>
    <w:rsid w:val="004C36BD"/>
    <w:rsid w:val="004C58ED"/>
    <w:rsid w:val="004C726C"/>
    <w:rsid w:val="004D0095"/>
    <w:rsid w:val="004D0634"/>
    <w:rsid w:val="004D0EC0"/>
    <w:rsid w:val="004D1F34"/>
    <w:rsid w:val="004D29D7"/>
    <w:rsid w:val="004D49F5"/>
    <w:rsid w:val="004D51C1"/>
    <w:rsid w:val="004D562A"/>
    <w:rsid w:val="004D66CE"/>
    <w:rsid w:val="004D6811"/>
    <w:rsid w:val="004D695D"/>
    <w:rsid w:val="004E1C86"/>
    <w:rsid w:val="004E1F99"/>
    <w:rsid w:val="004E36C8"/>
    <w:rsid w:val="004E4254"/>
    <w:rsid w:val="004F100D"/>
    <w:rsid w:val="004F1548"/>
    <w:rsid w:val="004F1A98"/>
    <w:rsid w:val="004F1EA3"/>
    <w:rsid w:val="004F2AD4"/>
    <w:rsid w:val="004F7F32"/>
    <w:rsid w:val="00500472"/>
    <w:rsid w:val="005004AA"/>
    <w:rsid w:val="0050089E"/>
    <w:rsid w:val="005012B5"/>
    <w:rsid w:val="00502111"/>
    <w:rsid w:val="005032B8"/>
    <w:rsid w:val="00504824"/>
    <w:rsid w:val="00504D5B"/>
    <w:rsid w:val="00504E55"/>
    <w:rsid w:val="005057E0"/>
    <w:rsid w:val="005071AC"/>
    <w:rsid w:val="0051071B"/>
    <w:rsid w:val="00510A9C"/>
    <w:rsid w:val="00511DE7"/>
    <w:rsid w:val="00514C08"/>
    <w:rsid w:val="0051637B"/>
    <w:rsid w:val="0052154F"/>
    <w:rsid w:val="00521F3A"/>
    <w:rsid w:val="00521F80"/>
    <w:rsid w:val="00523B8B"/>
    <w:rsid w:val="00523CBD"/>
    <w:rsid w:val="00524FD3"/>
    <w:rsid w:val="00527059"/>
    <w:rsid w:val="00527718"/>
    <w:rsid w:val="00530BAE"/>
    <w:rsid w:val="00531F70"/>
    <w:rsid w:val="00533C32"/>
    <w:rsid w:val="00534E02"/>
    <w:rsid w:val="00535EBB"/>
    <w:rsid w:val="00535FC1"/>
    <w:rsid w:val="00536F36"/>
    <w:rsid w:val="00541BF1"/>
    <w:rsid w:val="005439D2"/>
    <w:rsid w:val="00543D72"/>
    <w:rsid w:val="00543E70"/>
    <w:rsid w:val="005449CC"/>
    <w:rsid w:val="005453DB"/>
    <w:rsid w:val="00546133"/>
    <w:rsid w:val="00546F32"/>
    <w:rsid w:val="00550388"/>
    <w:rsid w:val="005506C2"/>
    <w:rsid w:val="00552AD5"/>
    <w:rsid w:val="00552B3B"/>
    <w:rsid w:val="005537FB"/>
    <w:rsid w:val="00556138"/>
    <w:rsid w:val="00556CA0"/>
    <w:rsid w:val="00556FE6"/>
    <w:rsid w:val="0055705D"/>
    <w:rsid w:val="00557354"/>
    <w:rsid w:val="005603CB"/>
    <w:rsid w:val="00561C90"/>
    <w:rsid w:val="005623A0"/>
    <w:rsid w:val="00564FCD"/>
    <w:rsid w:val="00565694"/>
    <w:rsid w:val="00566D1A"/>
    <w:rsid w:val="005673A3"/>
    <w:rsid w:val="00571C4A"/>
    <w:rsid w:val="00573700"/>
    <w:rsid w:val="005758F3"/>
    <w:rsid w:val="00576023"/>
    <w:rsid w:val="00580A4F"/>
    <w:rsid w:val="005830F1"/>
    <w:rsid w:val="00583A0C"/>
    <w:rsid w:val="0058497C"/>
    <w:rsid w:val="00587B31"/>
    <w:rsid w:val="005900EB"/>
    <w:rsid w:val="005913CE"/>
    <w:rsid w:val="00591E8F"/>
    <w:rsid w:val="00592246"/>
    <w:rsid w:val="00594F41"/>
    <w:rsid w:val="00595D09"/>
    <w:rsid w:val="00596F63"/>
    <w:rsid w:val="00597EC4"/>
    <w:rsid w:val="005A0A96"/>
    <w:rsid w:val="005A1310"/>
    <w:rsid w:val="005A1958"/>
    <w:rsid w:val="005A3D82"/>
    <w:rsid w:val="005A5A94"/>
    <w:rsid w:val="005A5B24"/>
    <w:rsid w:val="005A5FED"/>
    <w:rsid w:val="005A6219"/>
    <w:rsid w:val="005A75B8"/>
    <w:rsid w:val="005A75CB"/>
    <w:rsid w:val="005A7990"/>
    <w:rsid w:val="005A79A0"/>
    <w:rsid w:val="005A7D10"/>
    <w:rsid w:val="005B02C0"/>
    <w:rsid w:val="005B08C1"/>
    <w:rsid w:val="005B2D04"/>
    <w:rsid w:val="005B3A1E"/>
    <w:rsid w:val="005B4331"/>
    <w:rsid w:val="005B45F8"/>
    <w:rsid w:val="005B4641"/>
    <w:rsid w:val="005B591B"/>
    <w:rsid w:val="005B5DF0"/>
    <w:rsid w:val="005B70E3"/>
    <w:rsid w:val="005B74C8"/>
    <w:rsid w:val="005B7A41"/>
    <w:rsid w:val="005B7ED4"/>
    <w:rsid w:val="005C011D"/>
    <w:rsid w:val="005C2566"/>
    <w:rsid w:val="005C2BE0"/>
    <w:rsid w:val="005C316A"/>
    <w:rsid w:val="005C45B7"/>
    <w:rsid w:val="005C4CEF"/>
    <w:rsid w:val="005C4D46"/>
    <w:rsid w:val="005C4EAC"/>
    <w:rsid w:val="005C59F4"/>
    <w:rsid w:val="005C5A91"/>
    <w:rsid w:val="005C67D0"/>
    <w:rsid w:val="005C6CAF"/>
    <w:rsid w:val="005C72B7"/>
    <w:rsid w:val="005C7389"/>
    <w:rsid w:val="005C761B"/>
    <w:rsid w:val="005D13F8"/>
    <w:rsid w:val="005D176A"/>
    <w:rsid w:val="005D3AE9"/>
    <w:rsid w:val="005D49DA"/>
    <w:rsid w:val="005D4A66"/>
    <w:rsid w:val="005D4B14"/>
    <w:rsid w:val="005D4DA3"/>
    <w:rsid w:val="005D560F"/>
    <w:rsid w:val="005E0640"/>
    <w:rsid w:val="005E07F6"/>
    <w:rsid w:val="005E0D47"/>
    <w:rsid w:val="005E0D6E"/>
    <w:rsid w:val="005E1A7B"/>
    <w:rsid w:val="005E22A7"/>
    <w:rsid w:val="005E2DEB"/>
    <w:rsid w:val="005E323C"/>
    <w:rsid w:val="005E3909"/>
    <w:rsid w:val="005E4B13"/>
    <w:rsid w:val="005E6174"/>
    <w:rsid w:val="005E6D50"/>
    <w:rsid w:val="005E741C"/>
    <w:rsid w:val="005E7697"/>
    <w:rsid w:val="005F1B5D"/>
    <w:rsid w:val="005F1E8C"/>
    <w:rsid w:val="005F1FFB"/>
    <w:rsid w:val="005F25EA"/>
    <w:rsid w:val="005F3280"/>
    <w:rsid w:val="005F4D3D"/>
    <w:rsid w:val="005F7CF8"/>
    <w:rsid w:val="0060013A"/>
    <w:rsid w:val="00601F9D"/>
    <w:rsid w:val="0060207C"/>
    <w:rsid w:val="006057E4"/>
    <w:rsid w:val="00606821"/>
    <w:rsid w:val="006110BE"/>
    <w:rsid w:val="00611CEC"/>
    <w:rsid w:val="006126D4"/>
    <w:rsid w:val="00613FB8"/>
    <w:rsid w:val="00614197"/>
    <w:rsid w:val="0061550E"/>
    <w:rsid w:val="006157FD"/>
    <w:rsid w:val="006173FA"/>
    <w:rsid w:val="00617C7D"/>
    <w:rsid w:val="00620257"/>
    <w:rsid w:val="00620767"/>
    <w:rsid w:val="0062085B"/>
    <w:rsid w:val="0062290F"/>
    <w:rsid w:val="006233B7"/>
    <w:rsid w:val="00623916"/>
    <w:rsid w:val="006239DE"/>
    <w:rsid w:val="006240A5"/>
    <w:rsid w:val="00626D25"/>
    <w:rsid w:val="00630FE9"/>
    <w:rsid w:val="006311DE"/>
    <w:rsid w:val="0063143D"/>
    <w:rsid w:val="00631D04"/>
    <w:rsid w:val="00632D19"/>
    <w:rsid w:val="006333E0"/>
    <w:rsid w:val="006344B7"/>
    <w:rsid w:val="006351F9"/>
    <w:rsid w:val="00635AC0"/>
    <w:rsid w:val="00635BAE"/>
    <w:rsid w:val="00635F56"/>
    <w:rsid w:val="00637018"/>
    <w:rsid w:val="006375C6"/>
    <w:rsid w:val="00637FD0"/>
    <w:rsid w:val="00640048"/>
    <w:rsid w:val="00640076"/>
    <w:rsid w:val="006412A1"/>
    <w:rsid w:val="00642B98"/>
    <w:rsid w:val="00643750"/>
    <w:rsid w:val="0064485A"/>
    <w:rsid w:val="006448FE"/>
    <w:rsid w:val="00644C6A"/>
    <w:rsid w:val="00645528"/>
    <w:rsid w:val="00645C87"/>
    <w:rsid w:val="00647239"/>
    <w:rsid w:val="00651193"/>
    <w:rsid w:val="00653A69"/>
    <w:rsid w:val="00655994"/>
    <w:rsid w:val="006570B5"/>
    <w:rsid w:val="00657EE9"/>
    <w:rsid w:val="00660637"/>
    <w:rsid w:val="006614C7"/>
    <w:rsid w:val="006618A8"/>
    <w:rsid w:val="006620F2"/>
    <w:rsid w:val="00664181"/>
    <w:rsid w:val="00664A16"/>
    <w:rsid w:val="00664ADB"/>
    <w:rsid w:val="00665323"/>
    <w:rsid w:val="006667AB"/>
    <w:rsid w:val="0066680A"/>
    <w:rsid w:val="0066783D"/>
    <w:rsid w:val="00670654"/>
    <w:rsid w:val="00671CE5"/>
    <w:rsid w:val="006721D5"/>
    <w:rsid w:val="00672DBA"/>
    <w:rsid w:val="00672F40"/>
    <w:rsid w:val="00673B4E"/>
    <w:rsid w:val="00674143"/>
    <w:rsid w:val="00674403"/>
    <w:rsid w:val="00674D48"/>
    <w:rsid w:val="006750EF"/>
    <w:rsid w:val="006750FB"/>
    <w:rsid w:val="006756F3"/>
    <w:rsid w:val="00676D14"/>
    <w:rsid w:val="00677943"/>
    <w:rsid w:val="00677F20"/>
    <w:rsid w:val="0068115A"/>
    <w:rsid w:val="006823A2"/>
    <w:rsid w:val="00682825"/>
    <w:rsid w:val="00682F09"/>
    <w:rsid w:val="00683C00"/>
    <w:rsid w:val="00686725"/>
    <w:rsid w:val="00690B28"/>
    <w:rsid w:val="00690D5A"/>
    <w:rsid w:val="00691EB5"/>
    <w:rsid w:val="00694BC4"/>
    <w:rsid w:val="006962B6"/>
    <w:rsid w:val="0069713A"/>
    <w:rsid w:val="006A0350"/>
    <w:rsid w:val="006A08B4"/>
    <w:rsid w:val="006A112F"/>
    <w:rsid w:val="006A2356"/>
    <w:rsid w:val="006A2472"/>
    <w:rsid w:val="006A24DF"/>
    <w:rsid w:val="006A3FB0"/>
    <w:rsid w:val="006A5687"/>
    <w:rsid w:val="006B0122"/>
    <w:rsid w:val="006B10C7"/>
    <w:rsid w:val="006B1527"/>
    <w:rsid w:val="006B155C"/>
    <w:rsid w:val="006B340A"/>
    <w:rsid w:val="006B3734"/>
    <w:rsid w:val="006B3B43"/>
    <w:rsid w:val="006B4425"/>
    <w:rsid w:val="006B52A6"/>
    <w:rsid w:val="006B5391"/>
    <w:rsid w:val="006B622F"/>
    <w:rsid w:val="006B685A"/>
    <w:rsid w:val="006C0599"/>
    <w:rsid w:val="006C1647"/>
    <w:rsid w:val="006C1D68"/>
    <w:rsid w:val="006C1F32"/>
    <w:rsid w:val="006C348B"/>
    <w:rsid w:val="006C35DA"/>
    <w:rsid w:val="006C3B6C"/>
    <w:rsid w:val="006C49CA"/>
    <w:rsid w:val="006C4E30"/>
    <w:rsid w:val="006C533D"/>
    <w:rsid w:val="006C53B4"/>
    <w:rsid w:val="006C7975"/>
    <w:rsid w:val="006C7E42"/>
    <w:rsid w:val="006C7E59"/>
    <w:rsid w:val="006D1307"/>
    <w:rsid w:val="006D139A"/>
    <w:rsid w:val="006D3A9D"/>
    <w:rsid w:val="006D3AF6"/>
    <w:rsid w:val="006D42C9"/>
    <w:rsid w:val="006D4DB7"/>
    <w:rsid w:val="006D5D8E"/>
    <w:rsid w:val="006E1866"/>
    <w:rsid w:val="006E2EBC"/>
    <w:rsid w:val="006E3437"/>
    <w:rsid w:val="006E3C86"/>
    <w:rsid w:val="006E50D8"/>
    <w:rsid w:val="006F2883"/>
    <w:rsid w:val="006F3386"/>
    <w:rsid w:val="006F4932"/>
    <w:rsid w:val="006F55F8"/>
    <w:rsid w:val="006F59B3"/>
    <w:rsid w:val="006F5FAB"/>
    <w:rsid w:val="006F64C7"/>
    <w:rsid w:val="006F6F80"/>
    <w:rsid w:val="006F7434"/>
    <w:rsid w:val="006F754A"/>
    <w:rsid w:val="007014D6"/>
    <w:rsid w:val="0070185A"/>
    <w:rsid w:val="00701E68"/>
    <w:rsid w:val="00702646"/>
    <w:rsid w:val="00703716"/>
    <w:rsid w:val="00703D5F"/>
    <w:rsid w:val="00705831"/>
    <w:rsid w:val="00706857"/>
    <w:rsid w:val="00706D9F"/>
    <w:rsid w:val="00707A91"/>
    <w:rsid w:val="00707B20"/>
    <w:rsid w:val="0071002D"/>
    <w:rsid w:val="00710045"/>
    <w:rsid w:val="0071106F"/>
    <w:rsid w:val="00711C5C"/>
    <w:rsid w:val="00714CAD"/>
    <w:rsid w:val="00714F7F"/>
    <w:rsid w:val="00715BBD"/>
    <w:rsid w:val="00715CE4"/>
    <w:rsid w:val="007161DB"/>
    <w:rsid w:val="007166A3"/>
    <w:rsid w:val="0071689C"/>
    <w:rsid w:val="00716AA5"/>
    <w:rsid w:val="00721AAD"/>
    <w:rsid w:val="007223C5"/>
    <w:rsid w:val="00722783"/>
    <w:rsid w:val="0072278B"/>
    <w:rsid w:val="00723737"/>
    <w:rsid w:val="00725D2D"/>
    <w:rsid w:val="00725E38"/>
    <w:rsid w:val="00727599"/>
    <w:rsid w:val="00730961"/>
    <w:rsid w:val="00731272"/>
    <w:rsid w:val="00731E63"/>
    <w:rsid w:val="0073354E"/>
    <w:rsid w:val="00733FA8"/>
    <w:rsid w:val="0073405A"/>
    <w:rsid w:val="00734E8F"/>
    <w:rsid w:val="00735A87"/>
    <w:rsid w:val="00736829"/>
    <w:rsid w:val="00737875"/>
    <w:rsid w:val="00740486"/>
    <w:rsid w:val="00740EAD"/>
    <w:rsid w:val="0074110C"/>
    <w:rsid w:val="007435A8"/>
    <w:rsid w:val="00743E63"/>
    <w:rsid w:val="00746410"/>
    <w:rsid w:val="00747003"/>
    <w:rsid w:val="00747CA6"/>
    <w:rsid w:val="00750DA0"/>
    <w:rsid w:val="007511DD"/>
    <w:rsid w:val="00751C80"/>
    <w:rsid w:val="00752922"/>
    <w:rsid w:val="0075351C"/>
    <w:rsid w:val="00753B0A"/>
    <w:rsid w:val="007540F1"/>
    <w:rsid w:val="00755094"/>
    <w:rsid w:val="00756385"/>
    <w:rsid w:val="00760D13"/>
    <w:rsid w:val="00763EFF"/>
    <w:rsid w:val="00764477"/>
    <w:rsid w:val="007646A9"/>
    <w:rsid w:val="0076644A"/>
    <w:rsid w:val="0076644C"/>
    <w:rsid w:val="007668DD"/>
    <w:rsid w:val="007675D2"/>
    <w:rsid w:val="00770224"/>
    <w:rsid w:val="007705FD"/>
    <w:rsid w:val="007721BC"/>
    <w:rsid w:val="00772CD3"/>
    <w:rsid w:val="0077499E"/>
    <w:rsid w:val="00774BD4"/>
    <w:rsid w:val="00775189"/>
    <w:rsid w:val="0077531D"/>
    <w:rsid w:val="007760FE"/>
    <w:rsid w:val="00776E87"/>
    <w:rsid w:val="007813FA"/>
    <w:rsid w:val="007833FF"/>
    <w:rsid w:val="00783963"/>
    <w:rsid w:val="0078496A"/>
    <w:rsid w:val="00785B84"/>
    <w:rsid w:val="00785E5F"/>
    <w:rsid w:val="00786D27"/>
    <w:rsid w:val="00787D0C"/>
    <w:rsid w:val="00790837"/>
    <w:rsid w:val="007912DB"/>
    <w:rsid w:val="00791424"/>
    <w:rsid w:val="00791B53"/>
    <w:rsid w:val="0079252B"/>
    <w:rsid w:val="0079357D"/>
    <w:rsid w:val="00796106"/>
    <w:rsid w:val="00796167"/>
    <w:rsid w:val="007977A7"/>
    <w:rsid w:val="00797B9A"/>
    <w:rsid w:val="00797CD0"/>
    <w:rsid w:val="00797D1B"/>
    <w:rsid w:val="007A0549"/>
    <w:rsid w:val="007A08A7"/>
    <w:rsid w:val="007A0A81"/>
    <w:rsid w:val="007A1D3B"/>
    <w:rsid w:val="007A2699"/>
    <w:rsid w:val="007A42FA"/>
    <w:rsid w:val="007A4BB0"/>
    <w:rsid w:val="007A55C4"/>
    <w:rsid w:val="007A55D2"/>
    <w:rsid w:val="007A5D6B"/>
    <w:rsid w:val="007A5EDF"/>
    <w:rsid w:val="007A73E7"/>
    <w:rsid w:val="007B0560"/>
    <w:rsid w:val="007B05FA"/>
    <w:rsid w:val="007B5E4F"/>
    <w:rsid w:val="007B5E64"/>
    <w:rsid w:val="007B6D6F"/>
    <w:rsid w:val="007C0394"/>
    <w:rsid w:val="007C1356"/>
    <w:rsid w:val="007C16C2"/>
    <w:rsid w:val="007C1765"/>
    <w:rsid w:val="007C38EC"/>
    <w:rsid w:val="007C4400"/>
    <w:rsid w:val="007C4F8F"/>
    <w:rsid w:val="007C6A90"/>
    <w:rsid w:val="007C70A4"/>
    <w:rsid w:val="007C7FA9"/>
    <w:rsid w:val="007D030C"/>
    <w:rsid w:val="007D04AE"/>
    <w:rsid w:val="007D12EE"/>
    <w:rsid w:val="007D1425"/>
    <w:rsid w:val="007D2B4E"/>
    <w:rsid w:val="007D2BA3"/>
    <w:rsid w:val="007D2D10"/>
    <w:rsid w:val="007D422A"/>
    <w:rsid w:val="007D46E0"/>
    <w:rsid w:val="007D5883"/>
    <w:rsid w:val="007D6741"/>
    <w:rsid w:val="007D6D21"/>
    <w:rsid w:val="007D74AC"/>
    <w:rsid w:val="007D778E"/>
    <w:rsid w:val="007E1383"/>
    <w:rsid w:val="007E1A2A"/>
    <w:rsid w:val="007E24C6"/>
    <w:rsid w:val="007E3582"/>
    <w:rsid w:val="007E3925"/>
    <w:rsid w:val="007E44DC"/>
    <w:rsid w:val="007E4B63"/>
    <w:rsid w:val="007E5935"/>
    <w:rsid w:val="007E5DBB"/>
    <w:rsid w:val="007E5F95"/>
    <w:rsid w:val="007E5FD7"/>
    <w:rsid w:val="007E6FCC"/>
    <w:rsid w:val="007F00A2"/>
    <w:rsid w:val="007F3EB7"/>
    <w:rsid w:val="007F4D8C"/>
    <w:rsid w:val="008005E4"/>
    <w:rsid w:val="008007D3"/>
    <w:rsid w:val="00805789"/>
    <w:rsid w:val="0080599D"/>
    <w:rsid w:val="008074AC"/>
    <w:rsid w:val="00807E29"/>
    <w:rsid w:val="00812183"/>
    <w:rsid w:val="0081226D"/>
    <w:rsid w:val="00812715"/>
    <w:rsid w:val="0081355A"/>
    <w:rsid w:val="0081382C"/>
    <w:rsid w:val="00813897"/>
    <w:rsid w:val="00813A00"/>
    <w:rsid w:val="00814345"/>
    <w:rsid w:val="00815128"/>
    <w:rsid w:val="008151B5"/>
    <w:rsid w:val="00816725"/>
    <w:rsid w:val="00816A6C"/>
    <w:rsid w:val="00817070"/>
    <w:rsid w:val="00817426"/>
    <w:rsid w:val="0082047D"/>
    <w:rsid w:val="0082228E"/>
    <w:rsid w:val="0082229F"/>
    <w:rsid w:val="008223F9"/>
    <w:rsid w:val="008224AF"/>
    <w:rsid w:val="00822670"/>
    <w:rsid w:val="00826413"/>
    <w:rsid w:val="00827194"/>
    <w:rsid w:val="00827F65"/>
    <w:rsid w:val="00830C9B"/>
    <w:rsid w:val="008310E2"/>
    <w:rsid w:val="00832C04"/>
    <w:rsid w:val="00832D83"/>
    <w:rsid w:val="00833AE3"/>
    <w:rsid w:val="00837276"/>
    <w:rsid w:val="00840A46"/>
    <w:rsid w:val="00840B2F"/>
    <w:rsid w:val="00841331"/>
    <w:rsid w:val="00841FF8"/>
    <w:rsid w:val="00842084"/>
    <w:rsid w:val="0084570F"/>
    <w:rsid w:val="00845D40"/>
    <w:rsid w:val="00846D10"/>
    <w:rsid w:val="0084752A"/>
    <w:rsid w:val="0084778F"/>
    <w:rsid w:val="00847FC2"/>
    <w:rsid w:val="008500E7"/>
    <w:rsid w:val="00850EF1"/>
    <w:rsid w:val="00851A51"/>
    <w:rsid w:val="00852AE2"/>
    <w:rsid w:val="00854289"/>
    <w:rsid w:val="008548B9"/>
    <w:rsid w:val="00856B50"/>
    <w:rsid w:val="00857C9D"/>
    <w:rsid w:val="0086070E"/>
    <w:rsid w:val="00861D2C"/>
    <w:rsid w:val="0086450F"/>
    <w:rsid w:val="008645B3"/>
    <w:rsid w:val="00864DE2"/>
    <w:rsid w:val="00866D2B"/>
    <w:rsid w:val="008679E2"/>
    <w:rsid w:val="00870AB9"/>
    <w:rsid w:val="00871449"/>
    <w:rsid w:val="0087167E"/>
    <w:rsid w:val="008719D3"/>
    <w:rsid w:val="00871F42"/>
    <w:rsid w:val="0087233A"/>
    <w:rsid w:val="00873B5E"/>
    <w:rsid w:val="0087591F"/>
    <w:rsid w:val="00875F43"/>
    <w:rsid w:val="008772B1"/>
    <w:rsid w:val="00880028"/>
    <w:rsid w:val="00881178"/>
    <w:rsid w:val="00881B5C"/>
    <w:rsid w:val="00883537"/>
    <w:rsid w:val="008842F4"/>
    <w:rsid w:val="00884E86"/>
    <w:rsid w:val="00885FA0"/>
    <w:rsid w:val="00886449"/>
    <w:rsid w:val="00886B29"/>
    <w:rsid w:val="008871F6"/>
    <w:rsid w:val="00890565"/>
    <w:rsid w:val="00890EDE"/>
    <w:rsid w:val="008919B8"/>
    <w:rsid w:val="008938CF"/>
    <w:rsid w:val="0089450C"/>
    <w:rsid w:val="00895385"/>
    <w:rsid w:val="00895D13"/>
    <w:rsid w:val="00897307"/>
    <w:rsid w:val="00897582"/>
    <w:rsid w:val="00897E61"/>
    <w:rsid w:val="008A0D22"/>
    <w:rsid w:val="008A2EC0"/>
    <w:rsid w:val="008A528E"/>
    <w:rsid w:val="008A59AA"/>
    <w:rsid w:val="008A64FB"/>
    <w:rsid w:val="008A69D6"/>
    <w:rsid w:val="008A6F58"/>
    <w:rsid w:val="008A71AB"/>
    <w:rsid w:val="008A7837"/>
    <w:rsid w:val="008A7BEB"/>
    <w:rsid w:val="008B0AB4"/>
    <w:rsid w:val="008B100D"/>
    <w:rsid w:val="008B2A38"/>
    <w:rsid w:val="008B2EA2"/>
    <w:rsid w:val="008B30FE"/>
    <w:rsid w:val="008B4CBD"/>
    <w:rsid w:val="008B5091"/>
    <w:rsid w:val="008C22CA"/>
    <w:rsid w:val="008C310E"/>
    <w:rsid w:val="008C526D"/>
    <w:rsid w:val="008C596A"/>
    <w:rsid w:val="008C656C"/>
    <w:rsid w:val="008C65F4"/>
    <w:rsid w:val="008C7503"/>
    <w:rsid w:val="008C7E1F"/>
    <w:rsid w:val="008D1271"/>
    <w:rsid w:val="008D179C"/>
    <w:rsid w:val="008D2F8B"/>
    <w:rsid w:val="008D3459"/>
    <w:rsid w:val="008D5C4D"/>
    <w:rsid w:val="008D73A9"/>
    <w:rsid w:val="008E1E53"/>
    <w:rsid w:val="008E3C20"/>
    <w:rsid w:val="008E3F41"/>
    <w:rsid w:val="008E5F8A"/>
    <w:rsid w:val="008E6528"/>
    <w:rsid w:val="008E6F04"/>
    <w:rsid w:val="008E7873"/>
    <w:rsid w:val="008E7F61"/>
    <w:rsid w:val="008F134F"/>
    <w:rsid w:val="008F15A5"/>
    <w:rsid w:val="008F2E4B"/>
    <w:rsid w:val="008F3DD9"/>
    <w:rsid w:val="008F4C56"/>
    <w:rsid w:val="008F5241"/>
    <w:rsid w:val="008F7B78"/>
    <w:rsid w:val="00900080"/>
    <w:rsid w:val="009014DB"/>
    <w:rsid w:val="00901DA2"/>
    <w:rsid w:val="009031ED"/>
    <w:rsid w:val="009055A2"/>
    <w:rsid w:val="0090585D"/>
    <w:rsid w:val="00905B47"/>
    <w:rsid w:val="009062EA"/>
    <w:rsid w:val="00907F5D"/>
    <w:rsid w:val="00910A07"/>
    <w:rsid w:val="0091375B"/>
    <w:rsid w:val="0091381C"/>
    <w:rsid w:val="009138D4"/>
    <w:rsid w:val="00916A88"/>
    <w:rsid w:val="009172D9"/>
    <w:rsid w:val="0091761A"/>
    <w:rsid w:val="00917B02"/>
    <w:rsid w:val="00917FBC"/>
    <w:rsid w:val="009209EF"/>
    <w:rsid w:val="00921E8B"/>
    <w:rsid w:val="00922859"/>
    <w:rsid w:val="00922D58"/>
    <w:rsid w:val="00923497"/>
    <w:rsid w:val="00924324"/>
    <w:rsid w:val="00925077"/>
    <w:rsid w:val="00930787"/>
    <w:rsid w:val="009317E4"/>
    <w:rsid w:val="00931D7E"/>
    <w:rsid w:val="00931E7B"/>
    <w:rsid w:val="009325B3"/>
    <w:rsid w:val="00932E1D"/>
    <w:rsid w:val="00933032"/>
    <w:rsid w:val="00933A88"/>
    <w:rsid w:val="00933D57"/>
    <w:rsid w:val="00934332"/>
    <w:rsid w:val="00937279"/>
    <w:rsid w:val="009377AE"/>
    <w:rsid w:val="0093798C"/>
    <w:rsid w:val="00937C40"/>
    <w:rsid w:val="009406FE"/>
    <w:rsid w:val="0094227B"/>
    <w:rsid w:val="00943241"/>
    <w:rsid w:val="00943FFF"/>
    <w:rsid w:val="00944A82"/>
    <w:rsid w:val="00945B25"/>
    <w:rsid w:val="00946795"/>
    <w:rsid w:val="009501B1"/>
    <w:rsid w:val="00950E88"/>
    <w:rsid w:val="009510DD"/>
    <w:rsid w:val="00952DB2"/>
    <w:rsid w:val="00955A09"/>
    <w:rsid w:val="00956AE9"/>
    <w:rsid w:val="00961054"/>
    <w:rsid w:val="009611AC"/>
    <w:rsid w:val="0096159C"/>
    <w:rsid w:val="00962A83"/>
    <w:rsid w:val="009632AA"/>
    <w:rsid w:val="009638B8"/>
    <w:rsid w:val="00964263"/>
    <w:rsid w:val="00964699"/>
    <w:rsid w:val="009646F3"/>
    <w:rsid w:val="009700A1"/>
    <w:rsid w:val="00970448"/>
    <w:rsid w:val="009716A5"/>
    <w:rsid w:val="00972F50"/>
    <w:rsid w:val="009731A3"/>
    <w:rsid w:val="00973600"/>
    <w:rsid w:val="0097475D"/>
    <w:rsid w:val="009755E1"/>
    <w:rsid w:val="00977352"/>
    <w:rsid w:val="00977890"/>
    <w:rsid w:val="00980083"/>
    <w:rsid w:val="00980603"/>
    <w:rsid w:val="00980E33"/>
    <w:rsid w:val="00980F2C"/>
    <w:rsid w:val="00981D1D"/>
    <w:rsid w:val="0098332A"/>
    <w:rsid w:val="00984E3A"/>
    <w:rsid w:val="00985480"/>
    <w:rsid w:val="00987FB4"/>
    <w:rsid w:val="00993054"/>
    <w:rsid w:val="009936C6"/>
    <w:rsid w:val="009946F9"/>
    <w:rsid w:val="0099475B"/>
    <w:rsid w:val="00994BFD"/>
    <w:rsid w:val="0099575E"/>
    <w:rsid w:val="00996367"/>
    <w:rsid w:val="009963B8"/>
    <w:rsid w:val="009965F5"/>
    <w:rsid w:val="009966E6"/>
    <w:rsid w:val="009974A7"/>
    <w:rsid w:val="009A1DEE"/>
    <w:rsid w:val="009A377E"/>
    <w:rsid w:val="009A4C44"/>
    <w:rsid w:val="009A5581"/>
    <w:rsid w:val="009A5594"/>
    <w:rsid w:val="009A6044"/>
    <w:rsid w:val="009A6C71"/>
    <w:rsid w:val="009A745A"/>
    <w:rsid w:val="009A7A42"/>
    <w:rsid w:val="009B12C8"/>
    <w:rsid w:val="009B18C3"/>
    <w:rsid w:val="009B3609"/>
    <w:rsid w:val="009B3E7E"/>
    <w:rsid w:val="009B3EB6"/>
    <w:rsid w:val="009B5140"/>
    <w:rsid w:val="009B5263"/>
    <w:rsid w:val="009B5570"/>
    <w:rsid w:val="009B624D"/>
    <w:rsid w:val="009B6EC8"/>
    <w:rsid w:val="009B6F93"/>
    <w:rsid w:val="009B7468"/>
    <w:rsid w:val="009B7987"/>
    <w:rsid w:val="009C003D"/>
    <w:rsid w:val="009C0E3F"/>
    <w:rsid w:val="009C12BA"/>
    <w:rsid w:val="009C1978"/>
    <w:rsid w:val="009C25A6"/>
    <w:rsid w:val="009C2C6B"/>
    <w:rsid w:val="009C464D"/>
    <w:rsid w:val="009C57BE"/>
    <w:rsid w:val="009C7950"/>
    <w:rsid w:val="009D12F7"/>
    <w:rsid w:val="009D1DB9"/>
    <w:rsid w:val="009D2934"/>
    <w:rsid w:val="009D541F"/>
    <w:rsid w:val="009D5505"/>
    <w:rsid w:val="009D5F54"/>
    <w:rsid w:val="009D69A5"/>
    <w:rsid w:val="009D6E7C"/>
    <w:rsid w:val="009D7CBB"/>
    <w:rsid w:val="009E158D"/>
    <w:rsid w:val="009E1867"/>
    <w:rsid w:val="009E1ABC"/>
    <w:rsid w:val="009E2E82"/>
    <w:rsid w:val="009E35EC"/>
    <w:rsid w:val="009E3C54"/>
    <w:rsid w:val="009E44F2"/>
    <w:rsid w:val="009E4622"/>
    <w:rsid w:val="009E505D"/>
    <w:rsid w:val="009E6401"/>
    <w:rsid w:val="009E6860"/>
    <w:rsid w:val="009F0EB3"/>
    <w:rsid w:val="009F20DA"/>
    <w:rsid w:val="009F2814"/>
    <w:rsid w:val="009F29C9"/>
    <w:rsid w:val="009F3451"/>
    <w:rsid w:val="009F3615"/>
    <w:rsid w:val="009F39CE"/>
    <w:rsid w:val="009F5835"/>
    <w:rsid w:val="009F5B39"/>
    <w:rsid w:val="009F63D1"/>
    <w:rsid w:val="009F67BE"/>
    <w:rsid w:val="00A002E3"/>
    <w:rsid w:val="00A00797"/>
    <w:rsid w:val="00A0085E"/>
    <w:rsid w:val="00A00B41"/>
    <w:rsid w:val="00A00B75"/>
    <w:rsid w:val="00A01880"/>
    <w:rsid w:val="00A019E9"/>
    <w:rsid w:val="00A02226"/>
    <w:rsid w:val="00A03986"/>
    <w:rsid w:val="00A03AC9"/>
    <w:rsid w:val="00A04D89"/>
    <w:rsid w:val="00A062F9"/>
    <w:rsid w:val="00A06D8F"/>
    <w:rsid w:val="00A07278"/>
    <w:rsid w:val="00A11DBF"/>
    <w:rsid w:val="00A1391E"/>
    <w:rsid w:val="00A14AA6"/>
    <w:rsid w:val="00A14BD4"/>
    <w:rsid w:val="00A16A62"/>
    <w:rsid w:val="00A200E9"/>
    <w:rsid w:val="00A2030D"/>
    <w:rsid w:val="00A20617"/>
    <w:rsid w:val="00A2172C"/>
    <w:rsid w:val="00A22579"/>
    <w:rsid w:val="00A231B1"/>
    <w:rsid w:val="00A240F3"/>
    <w:rsid w:val="00A25589"/>
    <w:rsid w:val="00A26BF5"/>
    <w:rsid w:val="00A30A78"/>
    <w:rsid w:val="00A32420"/>
    <w:rsid w:val="00A324D1"/>
    <w:rsid w:val="00A34726"/>
    <w:rsid w:val="00A35259"/>
    <w:rsid w:val="00A3532D"/>
    <w:rsid w:val="00A357BA"/>
    <w:rsid w:val="00A364EE"/>
    <w:rsid w:val="00A36731"/>
    <w:rsid w:val="00A3765F"/>
    <w:rsid w:val="00A37823"/>
    <w:rsid w:val="00A4065D"/>
    <w:rsid w:val="00A40A56"/>
    <w:rsid w:val="00A40AE3"/>
    <w:rsid w:val="00A41803"/>
    <w:rsid w:val="00A41BAB"/>
    <w:rsid w:val="00A4288F"/>
    <w:rsid w:val="00A42E33"/>
    <w:rsid w:val="00A436A5"/>
    <w:rsid w:val="00A4416B"/>
    <w:rsid w:val="00A444A0"/>
    <w:rsid w:val="00A44656"/>
    <w:rsid w:val="00A44BCA"/>
    <w:rsid w:val="00A452BB"/>
    <w:rsid w:val="00A45C9A"/>
    <w:rsid w:val="00A45DE6"/>
    <w:rsid w:val="00A4617F"/>
    <w:rsid w:val="00A4633A"/>
    <w:rsid w:val="00A4799B"/>
    <w:rsid w:val="00A5122E"/>
    <w:rsid w:val="00A519A0"/>
    <w:rsid w:val="00A5265B"/>
    <w:rsid w:val="00A5312F"/>
    <w:rsid w:val="00A54B8A"/>
    <w:rsid w:val="00A54DB4"/>
    <w:rsid w:val="00A572D1"/>
    <w:rsid w:val="00A57DCA"/>
    <w:rsid w:val="00A60C7E"/>
    <w:rsid w:val="00A610D1"/>
    <w:rsid w:val="00A61BCC"/>
    <w:rsid w:val="00A63841"/>
    <w:rsid w:val="00A6694A"/>
    <w:rsid w:val="00A670F4"/>
    <w:rsid w:val="00A711FA"/>
    <w:rsid w:val="00A73A85"/>
    <w:rsid w:val="00A7513E"/>
    <w:rsid w:val="00A7532D"/>
    <w:rsid w:val="00A763D0"/>
    <w:rsid w:val="00A76431"/>
    <w:rsid w:val="00A77C32"/>
    <w:rsid w:val="00A805EA"/>
    <w:rsid w:val="00A80BB1"/>
    <w:rsid w:val="00A816E6"/>
    <w:rsid w:val="00A81A38"/>
    <w:rsid w:val="00A81AC0"/>
    <w:rsid w:val="00A842B2"/>
    <w:rsid w:val="00A86DB2"/>
    <w:rsid w:val="00A87A6F"/>
    <w:rsid w:val="00A90FD6"/>
    <w:rsid w:val="00A910D2"/>
    <w:rsid w:val="00A91181"/>
    <w:rsid w:val="00A911EF"/>
    <w:rsid w:val="00A92A8C"/>
    <w:rsid w:val="00A92C4E"/>
    <w:rsid w:val="00A9364F"/>
    <w:rsid w:val="00A94334"/>
    <w:rsid w:val="00A94D9B"/>
    <w:rsid w:val="00A95695"/>
    <w:rsid w:val="00A95B35"/>
    <w:rsid w:val="00A95F27"/>
    <w:rsid w:val="00A96B43"/>
    <w:rsid w:val="00A977CD"/>
    <w:rsid w:val="00AA075C"/>
    <w:rsid w:val="00AA3A9F"/>
    <w:rsid w:val="00AA3C74"/>
    <w:rsid w:val="00AA4F00"/>
    <w:rsid w:val="00AA58B4"/>
    <w:rsid w:val="00AA5BCE"/>
    <w:rsid w:val="00AA71E6"/>
    <w:rsid w:val="00AB1150"/>
    <w:rsid w:val="00AB2D1E"/>
    <w:rsid w:val="00AB492B"/>
    <w:rsid w:val="00AB4A8D"/>
    <w:rsid w:val="00AC010F"/>
    <w:rsid w:val="00AC02B9"/>
    <w:rsid w:val="00AC0413"/>
    <w:rsid w:val="00AC0A6E"/>
    <w:rsid w:val="00AC0B6B"/>
    <w:rsid w:val="00AC1333"/>
    <w:rsid w:val="00AC2130"/>
    <w:rsid w:val="00AC4BFD"/>
    <w:rsid w:val="00AC4C3A"/>
    <w:rsid w:val="00AC64CB"/>
    <w:rsid w:val="00AC769D"/>
    <w:rsid w:val="00AD010B"/>
    <w:rsid w:val="00AD075D"/>
    <w:rsid w:val="00AD1F58"/>
    <w:rsid w:val="00AD4B13"/>
    <w:rsid w:val="00AD61C1"/>
    <w:rsid w:val="00AD7A5B"/>
    <w:rsid w:val="00AD7E3F"/>
    <w:rsid w:val="00AE088C"/>
    <w:rsid w:val="00AE0BBC"/>
    <w:rsid w:val="00AE113B"/>
    <w:rsid w:val="00AE18F8"/>
    <w:rsid w:val="00AE19A6"/>
    <w:rsid w:val="00AE200E"/>
    <w:rsid w:val="00AE271B"/>
    <w:rsid w:val="00AE2C61"/>
    <w:rsid w:val="00AE2CA6"/>
    <w:rsid w:val="00AE4640"/>
    <w:rsid w:val="00AE589A"/>
    <w:rsid w:val="00AE61E0"/>
    <w:rsid w:val="00AE7C1E"/>
    <w:rsid w:val="00AF07B6"/>
    <w:rsid w:val="00AF0AFF"/>
    <w:rsid w:val="00AF3B58"/>
    <w:rsid w:val="00AF3C2C"/>
    <w:rsid w:val="00AF42A0"/>
    <w:rsid w:val="00AF4C72"/>
    <w:rsid w:val="00AF6D5C"/>
    <w:rsid w:val="00B0099D"/>
    <w:rsid w:val="00B00A55"/>
    <w:rsid w:val="00B02F7C"/>
    <w:rsid w:val="00B035F6"/>
    <w:rsid w:val="00B03C0F"/>
    <w:rsid w:val="00B0599D"/>
    <w:rsid w:val="00B077CB"/>
    <w:rsid w:val="00B07D45"/>
    <w:rsid w:val="00B11460"/>
    <w:rsid w:val="00B12008"/>
    <w:rsid w:val="00B1250A"/>
    <w:rsid w:val="00B134D9"/>
    <w:rsid w:val="00B13F26"/>
    <w:rsid w:val="00B14831"/>
    <w:rsid w:val="00B14B8E"/>
    <w:rsid w:val="00B14BAE"/>
    <w:rsid w:val="00B15FC0"/>
    <w:rsid w:val="00B17546"/>
    <w:rsid w:val="00B2191D"/>
    <w:rsid w:val="00B2680F"/>
    <w:rsid w:val="00B26F01"/>
    <w:rsid w:val="00B27800"/>
    <w:rsid w:val="00B32B6C"/>
    <w:rsid w:val="00B33E49"/>
    <w:rsid w:val="00B35734"/>
    <w:rsid w:val="00B37529"/>
    <w:rsid w:val="00B37B0D"/>
    <w:rsid w:val="00B37E5A"/>
    <w:rsid w:val="00B406BC"/>
    <w:rsid w:val="00B45AA9"/>
    <w:rsid w:val="00B500A9"/>
    <w:rsid w:val="00B509E0"/>
    <w:rsid w:val="00B51077"/>
    <w:rsid w:val="00B5189C"/>
    <w:rsid w:val="00B519E6"/>
    <w:rsid w:val="00B51E6F"/>
    <w:rsid w:val="00B52A22"/>
    <w:rsid w:val="00B53FFB"/>
    <w:rsid w:val="00B55BCA"/>
    <w:rsid w:val="00B56483"/>
    <w:rsid w:val="00B56F0F"/>
    <w:rsid w:val="00B577BB"/>
    <w:rsid w:val="00B57D7B"/>
    <w:rsid w:val="00B57FBB"/>
    <w:rsid w:val="00B636F7"/>
    <w:rsid w:val="00B63DF8"/>
    <w:rsid w:val="00B63E2A"/>
    <w:rsid w:val="00B64201"/>
    <w:rsid w:val="00B649C7"/>
    <w:rsid w:val="00B65D83"/>
    <w:rsid w:val="00B67617"/>
    <w:rsid w:val="00B6785C"/>
    <w:rsid w:val="00B67DF2"/>
    <w:rsid w:val="00B67F86"/>
    <w:rsid w:val="00B7025D"/>
    <w:rsid w:val="00B71477"/>
    <w:rsid w:val="00B718C6"/>
    <w:rsid w:val="00B727DA"/>
    <w:rsid w:val="00B7407C"/>
    <w:rsid w:val="00B75176"/>
    <w:rsid w:val="00B75808"/>
    <w:rsid w:val="00B80199"/>
    <w:rsid w:val="00B81F7E"/>
    <w:rsid w:val="00B843B5"/>
    <w:rsid w:val="00B85F35"/>
    <w:rsid w:val="00B86AEF"/>
    <w:rsid w:val="00B90715"/>
    <w:rsid w:val="00B90B93"/>
    <w:rsid w:val="00B9235D"/>
    <w:rsid w:val="00B92FD5"/>
    <w:rsid w:val="00B930E0"/>
    <w:rsid w:val="00B948B3"/>
    <w:rsid w:val="00B95D67"/>
    <w:rsid w:val="00B96819"/>
    <w:rsid w:val="00B96A98"/>
    <w:rsid w:val="00B96C99"/>
    <w:rsid w:val="00BA01E8"/>
    <w:rsid w:val="00BA2315"/>
    <w:rsid w:val="00BA3CF7"/>
    <w:rsid w:val="00BA3EF8"/>
    <w:rsid w:val="00BA4178"/>
    <w:rsid w:val="00BA4649"/>
    <w:rsid w:val="00BA4B75"/>
    <w:rsid w:val="00BA5B9B"/>
    <w:rsid w:val="00BA64AC"/>
    <w:rsid w:val="00BB0FA9"/>
    <w:rsid w:val="00BB34B8"/>
    <w:rsid w:val="00BB3820"/>
    <w:rsid w:val="00BB3DE7"/>
    <w:rsid w:val="00BB4022"/>
    <w:rsid w:val="00BB4F9B"/>
    <w:rsid w:val="00BB5591"/>
    <w:rsid w:val="00BB5D51"/>
    <w:rsid w:val="00BB6369"/>
    <w:rsid w:val="00BB7FC1"/>
    <w:rsid w:val="00BC23B7"/>
    <w:rsid w:val="00BC29AB"/>
    <w:rsid w:val="00BC2E8E"/>
    <w:rsid w:val="00BC3216"/>
    <w:rsid w:val="00BC4482"/>
    <w:rsid w:val="00BC44D6"/>
    <w:rsid w:val="00BC5135"/>
    <w:rsid w:val="00BC61D3"/>
    <w:rsid w:val="00BC6C92"/>
    <w:rsid w:val="00BD108B"/>
    <w:rsid w:val="00BD2ACF"/>
    <w:rsid w:val="00BD2D60"/>
    <w:rsid w:val="00BD34F9"/>
    <w:rsid w:val="00BD4963"/>
    <w:rsid w:val="00BD4C2B"/>
    <w:rsid w:val="00BD5207"/>
    <w:rsid w:val="00BD5958"/>
    <w:rsid w:val="00BD5D1F"/>
    <w:rsid w:val="00BD64EE"/>
    <w:rsid w:val="00BD67C0"/>
    <w:rsid w:val="00BD7F6E"/>
    <w:rsid w:val="00BE0D2E"/>
    <w:rsid w:val="00BE0E70"/>
    <w:rsid w:val="00BE2885"/>
    <w:rsid w:val="00BE2E77"/>
    <w:rsid w:val="00BE3157"/>
    <w:rsid w:val="00BE353D"/>
    <w:rsid w:val="00BE6414"/>
    <w:rsid w:val="00BE6C9C"/>
    <w:rsid w:val="00BF1010"/>
    <w:rsid w:val="00BF131A"/>
    <w:rsid w:val="00BF1927"/>
    <w:rsid w:val="00BF1C5E"/>
    <w:rsid w:val="00BF1E24"/>
    <w:rsid w:val="00BF28C7"/>
    <w:rsid w:val="00BF2A55"/>
    <w:rsid w:val="00BF2FF8"/>
    <w:rsid w:val="00BF42AB"/>
    <w:rsid w:val="00BF441F"/>
    <w:rsid w:val="00BF4840"/>
    <w:rsid w:val="00BF4D7F"/>
    <w:rsid w:val="00BF4F31"/>
    <w:rsid w:val="00BF668F"/>
    <w:rsid w:val="00BF74E1"/>
    <w:rsid w:val="00C002D6"/>
    <w:rsid w:val="00C014E4"/>
    <w:rsid w:val="00C03C86"/>
    <w:rsid w:val="00C03FB2"/>
    <w:rsid w:val="00C047E7"/>
    <w:rsid w:val="00C06327"/>
    <w:rsid w:val="00C10739"/>
    <w:rsid w:val="00C11934"/>
    <w:rsid w:val="00C11F37"/>
    <w:rsid w:val="00C120B6"/>
    <w:rsid w:val="00C141C3"/>
    <w:rsid w:val="00C14348"/>
    <w:rsid w:val="00C14370"/>
    <w:rsid w:val="00C14DFA"/>
    <w:rsid w:val="00C15AB8"/>
    <w:rsid w:val="00C21F4F"/>
    <w:rsid w:val="00C21FD9"/>
    <w:rsid w:val="00C23AFC"/>
    <w:rsid w:val="00C242ED"/>
    <w:rsid w:val="00C268C4"/>
    <w:rsid w:val="00C26F3D"/>
    <w:rsid w:val="00C277C8"/>
    <w:rsid w:val="00C27E6C"/>
    <w:rsid w:val="00C31C8F"/>
    <w:rsid w:val="00C32D56"/>
    <w:rsid w:val="00C3432C"/>
    <w:rsid w:val="00C34540"/>
    <w:rsid w:val="00C46679"/>
    <w:rsid w:val="00C46C20"/>
    <w:rsid w:val="00C47AC3"/>
    <w:rsid w:val="00C501DD"/>
    <w:rsid w:val="00C50577"/>
    <w:rsid w:val="00C50814"/>
    <w:rsid w:val="00C52116"/>
    <w:rsid w:val="00C53DD9"/>
    <w:rsid w:val="00C54689"/>
    <w:rsid w:val="00C54F68"/>
    <w:rsid w:val="00C55A23"/>
    <w:rsid w:val="00C60BD6"/>
    <w:rsid w:val="00C61442"/>
    <w:rsid w:val="00C616EC"/>
    <w:rsid w:val="00C63092"/>
    <w:rsid w:val="00C64BA9"/>
    <w:rsid w:val="00C65114"/>
    <w:rsid w:val="00C66293"/>
    <w:rsid w:val="00C670FE"/>
    <w:rsid w:val="00C71F30"/>
    <w:rsid w:val="00C734EA"/>
    <w:rsid w:val="00C7440B"/>
    <w:rsid w:val="00C756C1"/>
    <w:rsid w:val="00C76935"/>
    <w:rsid w:val="00C77E1F"/>
    <w:rsid w:val="00C8012D"/>
    <w:rsid w:val="00C80220"/>
    <w:rsid w:val="00C80456"/>
    <w:rsid w:val="00C80E24"/>
    <w:rsid w:val="00C81045"/>
    <w:rsid w:val="00C81170"/>
    <w:rsid w:val="00C82A9A"/>
    <w:rsid w:val="00C84682"/>
    <w:rsid w:val="00C850A3"/>
    <w:rsid w:val="00C87856"/>
    <w:rsid w:val="00C87D55"/>
    <w:rsid w:val="00C9019D"/>
    <w:rsid w:val="00C901B8"/>
    <w:rsid w:val="00C918D5"/>
    <w:rsid w:val="00C94334"/>
    <w:rsid w:val="00C96ED1"/>
    <w:rsid w:val="00C971D6"/>
    <w:rsid w:val="00C97589"/>
    <w:rsid w:val="00C979C8"/>
    <w:rsid w:val="00CA1343"/>
    <w:rsid w:val="00CA13C2"/>
    <w:rsid w:val="00CA177B"/>
    <w:rsid w:val="00CA1B9D"/>
    <w:rsid w:val="00CA1DCB"/>
    <w:rsid w:val="00CA206D"/>
    <w:rsid w:val="00CA4108"/>
    <w:rsid w:val="00CA5255"/>
    <w:rsid w:val="00CA6B73"/>
    <w:rsid w:val="00CA6BF3"/>
    <w:rsid w:val="00CA6DD9"/>
    <w:rsid w:val="00CA75AA"/>
    <w:rsid w:val="00CA7DFB"/>
    <w:rsid w:val="00CA7E6D"/>
    <w:rsid w:val="00CB206B"/>
    <w:rsid w:val="00CB2355"/>
    <w:rsid w:val="00CB301C"/>
    <w:rsid w:val="00CB33C5"/>
    <w:rsid w:val="00CB37A2"/>
    <w:rsid w:val="00CB678F"/>
    <w:rsid w:val="00CC1F5D"/>
    <w:rsid w:val="00CC309F"/>
    <w:rsid w:val="00CC4854"/>
    <w:rsid w:val="00CC6268"/>
    <w:rsid w:val="00CC71E4"/>
    <w:rsid w:val="00CC7823"/>
    <w:rsid w:val="00CD0733"/>
    <w:rsid w:val="00CD23E6"/>
    <w:rsid w:val="00CD3073"/>
    <w:rsid w:val="00CD3A0F"/>
    <w:rsid w:val="00CD3B4D"/>
    <w:rsid w:val="00CD4BD7"/>
    <w:rsid w:val="00CD6036"/>
    <w:rsid w:val="00CD6362"/>
    <w:rsid w:val="00CD661A"/>
    <w:rsid w:val="00CD66CC"/>
    <w:rsid w:val="00CE0A8D"/>
    <w:rsid w:val="00CE2B13"/>
    <w:rsid w:val="00CE3845"/>
    <w:rsid w:val="00CE4B7F"/>
    <w:rsid w:val="00CE4F3F"/>
    <w:rsid w:val="00CE6555"/>
    <w:rsid w:val="00CE7088"/>
    <w:rsid w:val="00CE7F36"/>
    <w:rsid w:val="00CF0444"/>
    <w:rsid w:val="00CF1AC3"/>
    <w:rsid w:val="00CF37B4"/>
    <w:rsid w:val="00CF3FCD"/>
    <w:rsid w:val="00CF40CD"/>
    <w:rsid w:val="00CF44C8"/>
    <w:rsid w:val="00CF5245"/>
    <w:rsid w:val="00CF5306"/>
    <w:rsid w:val="00CF5AB9"/>
    <w:rsid w:val="00CF7AF7"/>
    <w:rsid w:val="00CF7E5A"/>
    <w:rsid w:val="00D00627"/>
    <w:rsid w:val="00D0169D"/>
    <w:rsid w:val="00D0196D"/>
    <w:rsid w:val="00D02842"/>
    <w:rsid w:val="00D032B1"/>
    <w:rsid w:val="00D04413"/>
    <w:rsid w:val="00D04495"/>
    <w:rsid w:val="00D04A3B"/>
    <w:rsid w:val="00D04B89"/>
    <w:rsid w:val="00D07350"/>
    <w:rsid w:val="00D07659"/>
    <w:rsid w:val="00D10DEA"/>
    <w:rsid w:val="00D11F44"/>
    <w:rsid w:val="00D11FB7"/>
    <w:rsid w:val="00D14229"/>
    <w:rsid w:val="00D14951"/>
    <w:rsid w:val="00D15266"/>
    <w:rsid w:val="00D1588B"/>
    <w:rsid w:val="00D16010"/>
    <w:rsid w:val="00D219F2"/>
    <w:rsid w:val="00D24EC6"/>
    <w:rsid w:val="00D251DF"/>
    <w:rsid w:val="00D252C0"/>
    <w:rsid w:val="00D255C0"/>
    <w:rsid w:val="00D2672F"/>
    <w:rsid w:val="00D27A50"/>
    <w:rsid w:val="00D30ABE"/>
    <w:rsid w:val="00D33F3C"/>
    <w:rsid w:val="00D346FE"/>
    <w:rsid w:val="00D359F8"/>
    <w:rsid w:val="00D37C53"/>
    <w:rsid w:val="00D40134"/>
    <w:rsid w:val="00D404BE"/>
    <w:rsid w:val="00D42568"/>
    <w:rsid w:val="00D42626"/>
    <w:rsid w:val="00D428C5"/>
    <w:rsid w:val="00D42DDC"/>
    <w:rsid w:val="00D434B8"/>
    <w:rsid w:val="00D441BC"/>
    <w:rsid w:val="00D443CF"/>
    <w:rsid w:val="00D44808"/>
    <w:rsid w:val="00D44B9F"/>
    <w:rsid w:val="00D4593D"/>
    <w:rsid w:val="00D47B73"/>
    <w:rsid w:val="00D47BA6"/>
    <w:rsid w:val="00D50175"/>
    <w:rsid w:val="00D515EA"/>
    <w:rsid w:val="00D515F2"/>
    <w:rsid w:val="00D5162C"/>
    <w:rsid w:val="00D51879"/>
    <w:rsid w:val="00D527FE"/>
    <w:rsid w:val="00D52877"/>
    <w:rsid w:val="00D536CB"/>
    <w:rsid w:val="00D53930"/>
    <w:rsid w:val="00D54F9F"/>
    <w:rsid w:val="00D61461"/>
    <w:rsid w:val="00D61599"/>
    <w:rsid w:val="00D62316"/>
    <w:rsid w:val="00D65606"/>
    <w:rsid w:val="00D66076"/>
    <w:rsid w:val="00D66B81"/>
    <w:rsid w:val="00D670B3"/>
    <w:rsid w:val="00D67639"/>
    <w:rsid w:val="00D67AC5"/>
    <w:rsid w:val="00D67E38"/>
    <w:rsid w:val="00D707B5"/>
    <w:rsid w:val="00D716C6"/>
    <w:rsid w:val="00D72C7C"/>
    <w:rsid w:val="00D72F9F"/>
    <w:rsid w:val="00D7383B"/>
    <w:rsid w:val="00D73960"/>
    <w:rsid w:val="00D74BA8"/>
    <w:rsid w:val="00D772D1"/>
    <w:rsid w:val="00D80205"/>
    <w:rsid w:val="00D804FB"/>
    <w:rsid w:val="00D81578"/>
    <w:rsid w:val="00D8174D"/>
    <w:rsid w:val="00D82120"/>
    <w:rsid w:val="00D8239E"/>
    <w:rsid w:val="00D82A03"/>
    <w:rsid w:val="00D868DC"/>
    <w:rsid w:val="00D87C07"/>
    <w:rsid w:val="00D91B96"/>
    <w:rsid w:val="00D92A0B"/>
    <w:rsid w:val="00D938E1"/>
    <w:rsid w:val="00D943BE"/>
    <w:rsid w:val="00D94E30"/>
    <w:rsid w:val="00D957AA"/>
    <w:rsid w:val="00D96485"/>
    <w:rsid w:val="00D97F91"/>
    <w:rsid w:val="00DA0093"/>
    <w:rsid w:val="00DA166D"/>
    <w:rsid w:val="00DA2851"/>
    <w:rsid w:val="00DA3755"/>
    <w:rsid w:val="00DA3CF4"/>
    <w:rsid w:val="00DA48E4"/>
    <w:rsid w:val="00DA5041"/>
    <w:rsid w:val="00DA51C8"/>
    <w:rsid w:val="00DA629E"/>
    <w:rsid w:val="00DA6CE5"/>
    <w:rsid w:val="00DB041B"/>
    <w:rsid w:val="00DB0DF9"/>
    <w:rsid w:val="00DB232B"/>
    <w:rsid w:val="00DB3335"/>
    <w:rsid w:val="00DB3DC5"/>
    <w:rsid w:val="00DB4012"/>
    <w:rsid w:val="00DB49B6"/>
    <w:rsid w:val="00DB577F"/>
    <w:rsid w:val="00DB7CB5"/>
    <w:rsid w:val="00DC0461"/>
    <w:rsid w:val="00DC05AA"/>
    <w:rsid w:val="00DC2ECB"/>
    <w:rsid w:val="00DC34A0"/>
    <w:rsid w:val="00DC471D"/>
    <w:rsid w:val="00DC5E5A"/>
    <w:rsid w:val="00DC6E1C"/>
    <w:rsid w:val="00DC7150"/>
    <w:rsid w:val="00DC7307"/>
    <w:rsid w:val="00DC7BE9"/>
    <w:rsid w:val="00DC7C81"/>
    <w:rsid w:val="00DD045B"/>
    <w:rsid w:val="00DD075D"/>
    <w:rsid w:val="00DD0F20"/>
    <w:rsid w:val="00DD10B3"/>
    <w:rsid w:val="00DD1336"/>
    <w:rsid w:val="00DD2CA0"/>
    <w:rsid w:val="00DD374D"/>
    <w:rsid w:val="00DD653C"/>
    <w:rsid w:val="00DE02EA"/>
    <w:rsid w:val="00DE12AC"/>
    <w:rsid w:val="00DE1EF9"/>
    <w:rsid w:val="00DE24FB"/>
    <w:rsid w:val="00DE302E"/>
    <w:rsid w:val="00DE4269"/>
    <w:rsid w:val="00DE44F1"/>
    <w:rsid w:val="00DE56FF"/>
    <w:rsid w:val="00DE5792"/>
    <w:rsid w:val="00DE637E"/>
    <w:rsid w:val="00DF0277"/>
    <w:rsid w:val="00DF4388"/>
    <w:rsid w:val="00DF580D"/>
    <w:rsid w:val="00DF69BC"/>
    <w:rsid w:val="00E002FD"/>
    <w:rsid w:val="00E00A82"/>
    <w:rsid w:val="00E02079"/>
    <w:rsid w:val="00E020E5"/>
    <w:rsid w:val="00E032FF"/>
    <w:rsid w:val="00E03DC6"/>
    <w:rsid w:val="00E058D8"/>
    <w:rsid w:val="00E060F3"/>
    <w:rsid w:val="00E100AA"/>
    <w:rsid w:val="00E15AD8"/>
    <w:rsid w:val="00E16771"/>
    <w:rsid w:val="00E16D12"/>
    <w:rsid w:val="00E178D3"/>
    <w:rsid w:val="00E21784"/>
    <w:rsid w:val="00E22CFE"/>
    <w:rsid w:val="00E2340E"/>
    <w:rsid w:val="00E237D2"/>
    <w:rsid w:val="00E25CB4"/>
    <w:rsid w:val="00E2631E"/>
    <w:rsid w:val="00E275B0"/>
    <w:rsid w:val="00E2795D"/>
    <w:rsid w:val="00E31B0F"/>
    <w:rsid w:val="00E3630A"/>
    <w:rsid w:val="00E37744"/>
    <w:rsid w:val="00E40330"/>
    <w:rsid w:val="00E40822"/>
    <w:rsid w:val="00E422C3"/>
    <w:rsid w:val="00E42515"/>
    <w:rsid w:val="00E4329F"/>
    <w:rsid w:val="00E45520"/>
    <w:rsid w:val="00E45B84"/>
    <w:rsid w:val="00E50600"/>
    <w:rsid w:val="00E50A34"/>
    <w:rsid w:val="00E516C5"/>
    <w:rsid w:val="00E53316"/>
    <w:rsid w:val="00E54286"/>
    <w:rsid w:val="00E54A29"/>
    <w:rsid w:val="00E54FEE"/>
    <w:rsid w:val="00E56194"/>
    <w:rsid w:val="00E56273"/>
    <w:rsid w:val="00E61705"/>
    <w:rsid w:val="00E62202"/>
    <w:rsid w:val="00E62DAF"/>
    <w:rsid w:val="00E62FAE"/>
    <w:rsid w:val="00E64512"/>
    <w:rsid w:val="00E65B96"/>
    <w:rsid w:val="00E6726B"/>
    <w:rsid w:val="00E6795A"/>
    <w:rsid w:val="00E7055E"/>
    <w:rsid w:val="00E70AF4"/>
    <w:rsid w:val="00E71C12"/>
    <w:rsid w:val="00E728DE"/>
    <w:rsid w:val="00E76CC5"/>
    <w:rsid w:val="00E800E4"/>
    <w:rsid w:val="00E82593"/>
    <w:rsid w:val="00E84424"/>
    <w:rsid w:val="00E85A6B"/>
    <w:rsid w:val="00E85E36"/>
    <w:rsid w:val="00E85FA0"/>
    <w:rsid w:val="00E86BA5"/>
    <w:rsid w:val="00E92B5B"/>
    <w:rsid w:val="00E92D72"/>
    <w:rsid w:val="00E93C7D"/>
    <w:rsid w:val="00E96A0B"/>
    <w:rsid w:val="00E96D9B"/>
    <w:rsid w:val="00EA1104"/>
    <w:rsid w:val="00EA15D8"/>
    <w:rsid w:val="00EA1FA7"/>
    <w:rsid w:val="00EA3E3A"/>
    <w:rsid w:val="00EA5548"/>
    <w:rsid w:val="00EA6CDC"/>
    <w:rsid w:val="00EB2295"/>
    <w:rsid w:val="00EB2D77"/>
    <w:rsid w:val="00EB2D87"/>
    <w:rsid w:val="00EB392D"/>
    <w:rsid w:val="00EB3B1D"/>
    <w:rsid w:val="00EB416F"/>
    <w:rsid w:val="00EB47F2"/>
    <w:rsid w:val="00EB50F9"/>
    <w:rsid w:val="00EB7D31"/>
    <w:rsid w:val="00EC065F"/>
    <w:rsid w:val="00EC1B7F"/>
    <w:rsid w:val="00EC28C4"/>
    <w:rsid w:val="00EC48AA"/>
    <w:rsid w:val="00EC4A0B"/>
    <w:rsid w:val="00EC58B9"/>
    <w:rsid w:val="00EC76CB"/>
    <w:rsid w:val="00ED06D8"/>
    <w:rsid w:val="00ED1355"/>
    <w:rsid w:val="00ED4CBB"/>
    <w:rsid w:val="00ED4CC8"/>
    <w:rsid w:val="00ED6BF3"/>
    <w:rsid w:val="00ED7AED"/>
    <w:rsid w:val="00ED7C93"/>
    <w:rsid w:val="00EE010F"/>
    <w:rsid w:val="00EE03BD"/>
    <w:rsid w:val="00EE17DF"/>
    <w:rsid w:val="00EE1D0A"/>
    <w:rsid w:val="00EE327C"/>
    <w:rsid w:val="00EE32A0"/>
    <w:rsid w:val="00EE4628"/>
    <w:rsid w:val="00EE4DA9"/>
    <w:rsid w:val="00EE58B9"/>
    <w:rsid w:val="00EE5F95"/>
    <w:rsid w:val="00EE6103"/>
    <w:rsid w:val="00EF1B16"/>
    <w:rsid w:val="00EF2D5E"/>
    <w:rsid w:val="00EF34A2"/>
    <w:rsid w:val="00EF658F"/>
    <w:rsid w:val="00F01B0C"/>
    <w:rsid w:val="00F0283C"/>
    <w:rsid w:val="00F04539"/>
    <w:rsid w:val="00F04E96"/>
    <w:rsid w:val="00F04F8D"/>
    <w:rsid w:val="00F05B75"/>
    <w:rsid w:val="00F06253"/>
    <w:rsid w:val="00F06B00"/>
    <w:rsid w:val="00F07DB9"/>
    <w:rsid w:val="00F103BA"/>
    <w:rsid w:val="00F10969"/>
    <w:rsid w:val="00F1175A"/>
    <w:rsid w:val="00F11CD8"/>
    <w:rsid w:val="00F1235A"/>
    <w:rsid w:val="00F13310"/>
    <w:rsid w:val="00F149B2"/>
    <w:rsid w:val="00F15A3D"/>
    <w:rsid w:val="00F168CF"/>
    <w:rsid w:val="00F1732E"/>
    <w:rsid w:val="00F17D7E"/>
    <w:rsid w:val="00F21135"/>
    <w:rsid w:val="00F211E6"/>
    <w:rsid w:val="00F22AC5"/>
    <w:rsid w:val="00F22B14"/>
    <w:rsid w:val="00F23459"/>
    <w:rsid w:val="00F23559"/>
    <w:rsid w:val="00F23820"/>
    <w:rsid w:val="00F26F99"/>
    <w:rsid w:val="00F31012"/>
    <w:rsid w:val="00F31C83"/>
    <w:rsid w:val="00F32706"/>
    <w:rsid w:val="00F344C0"/>
    <w:rsid w:val="00F354E7"/>
    <w:rsid w:val="00F35D05"/>
    <w:rsid w:val="00F40408"/>
    <w:rsid w:val="00F40E0B"/>
    <w:rsid w:val="00F41C7D"/>
    <w:rsid w:val="00F4307B"/>
    <w:rsid w:val="00F445FB"/>
    <w:rsid w:val="00F4463E"/>
    <w:rsid w:val="00F4500D"/>
    <w:rsid w:val="00F452F9"/>
    <w:rsid w:val="00F45E62"/>
    <w:rsid w:val="00F467FE"/>
    <w:rsid w:val="00F46853"/>
    <w:rsid w:val="00F47792"/>
    <w:rsid w:val="00F478F4"/>
    <w:rsid w:val="00F4796B"/>
    <w:rsid w:val="00F50100"/>
    <w:rsid w:val="00F5071E"/>
    <w:rsid w:val="00F5130B"/>
    <w:rsid w:val="00F516B5"/>
    <w:rsid w:val="00F51A87"/>
    <w:rsid w:val="00F51F58"/>
    <w:rsid w:val="00F52344"/>
    <w:rsid w:val="00F52496"/>
    <w:rsid w:val="00F52BDC"/>
    <w:rsid w:val="00F53BA8"/>
    <w:rsid w:val="00F56ADE"/>
    <w:rsid w:val="00F60E54"/>
    <w:rsid w:val="00F6241A"/>
    <w:rsid w:val="00F6259D"/>
    <w:rsid w:val="00F63762"/>
    <w:rsid w:val="00F6383C"/>
    <w:rsid w:val="00F64A92"/>
    <w:rsid w:val="00F65604"/>
    <w:rsid w:val="00F66DD8"/>
    <w:rsid w:val="00F70648"/>
    <w:rsid w:val="00F707DA"/>
    <w:rsid w:val="00F70885"/>
    <w:rsid w:val="00F72679"/>
    <w:rsid w:val="00F72AC7"/>
    <w:rsid w:val="00F72BB9"/>
    <w:rsid w:val="00F73450"/>
    <w:rsid w:val="00F76103"/>
    <w:rsid w:val="00F76961"/>
    <w:rsid w:val="00F778C5"/>
    <w:rsid w:val="00F805BC"/>
    <w:rsid w:val="00F810CE"/>
    <w:rsid w:val="00F81158"/>
    <w:rsid w:val="00F82794"/>
    <w:rsid w:val="00F8280A"/>
    <w:rsid w:val="00F82EBD"/>
    <w:rsid w:val="00F83492"/>
    <w:rsid w:val="00F83BE8"/>
    <w:rsid w:val="00F84CA2"/>
    <w:rsid w:val="00F85EEF"/>
    <w:rsid w:val="00F8670F"/>
    <w:rsid w:val="00F87699"/>
    <w:rsid w:val="00F878DB"/>
    <w:rsid w:val="00F9093C"/>
    <w:rsid w:val="00F91A38"/>
    <w:rsid w:val="00F9602C"/>
    <w:rsid w:val="00FA0861"/>
    <w:rsid w:val="00FA0D05"/>
    <w:rsid w:val="00FA31AC"/>
    <w:rsid w:val="00FA5887"/>
    <w:rsid w:val="00FA646D"/>
    <w:rsid w:val="00FB117D"/>
    <w:rsid w:val="00FB1970"/>
    <w:rsid w:val="00FB19F9"/>
    <w:rsid w:val="00FB1DB6"/>
    <w:rsid w:val="00FB21C0"/>
    <w:rsid w:val="00FB2D0E"/>
    <w:rsid w:val="00FB4D7D"/>
    <w:rsid w:val="00FB57DA"/>
    <w:rsid w:val="00FC1282"/>
    <w:rsid w:val="00FC2225"/>
    <w:rsid w:val="00FC34E2"/>
    <w:rsid w:val="00FC3AAD"/>
    <w:rsid w:val="00FC4A4C"/>
    <w:rsid w:val="00FC4DD2"/>
    <w:rsid w:val="00FC563F"/>
    <w:rsid w:val="00FC6CF3"/>
    <w:rsid w:val="00FC7594"/>
    <w:rsid w:val="00FC775B"/>
    <w:rsid w:val="00FD15D2"/>
    <w:rsid w:val="00FD362C"/>
    <w:rsid w:val="00FD3A8E"/>
    <w:rsid w:val="00FD4132"/>
    <w:rsid w:val="00FD48EC"/>
    <w:rsid w:val="00FD7D15"/>
    <w:rsid w:val="00FE01FC"/>
    <w:rsid w:val="00FE2BD4"/>
    <w:rsid w:val="00FE379A"/>
    <w:rsid w:val="00FE46D2"/>
    <w:rsid w:val="00FE666B"/>
    <w:rsid w:val="00FF202C"/>
    <w:rsid w:val="00FF22AA"/>
    <w:rsid w:val="00FF3C32"/>
    <w:rsid w:val="00FF5C9F"/>
    <w:rsid w:val="00FF5FBE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CDCA"/>
  <w15:docId w15:val="{825D57A6-8DA8-4378-96E9-409BDE8B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34C"/>
    <w:pPr>
      <w:spacing w:after="180"/>
    </w:pPr>
    <w:rPr>
      <w:color w:val="262626"/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48034C"/>
    <w:pPr>
      <w:keepNext/>
      <w:keepLines/>
      <w:spacing w:before="480" w:after="0"/>
      <w:outlineLvl w:val="0"/>
    </w:pPr>
    <w:rPr>
      <w:rFonts w:ascii="Trebuchet MS" w:eastAsia="Times New Roman" w:hAnsi="Trebuchet MS"/>
      <w:bCs/>
      <w:color w:val="000000"/>
      <w:sz w:val="56"/>
      <w:szCs w:val="28"/>
    </w:rPr>
  </w:style>
  <w:style w:type="paragraph" w:styleId="Heading2">
    <w:name w:val="heading 2"/>
    <w:basedOn w:val="Normal"/>
    <w:next w:val="Normal"/>
    <w:link w:val="Heading2Char"/>
    <w:qFormat/>
    <w:rsid w:val="0048034C"/>
    <w:pPr>
      <w:keepNext/>
      <w:keepLines/>
      <w:spacing w:before="120" w:after="0"/>
      <w:outlineLvl w:val="1"/>
    </w:pPr>
    <w:rPr>
      <w:rFonts w:ascii="Trebuchet MS" w:eastAsia="Times New Roman" w:hAnsi="Trebuchet MS"/>
      <w:bCs/>
      <w:color w:val="FF5C0B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8034C"/>
    <w:pPr>
      <w:keepNext/>
      <w:keepLines/>
      <w:spacing w:before="200" w:after="0"/>
      <w:outlineLvl w:val="2"/>
    </w:pPr>
    <w:rPr>
      <w:rFonts w:ascii="Trebuchet MS" w:eastAsia="Times New Roman" w:hAnsi="Trebuchet MS"/>
      <w:bCs/>
      <w:color w:val="000000"/>
      <w:sz w:val="48"/>
      <w:szCs w:val="20"/>
    </w:rPr>
  </w:style>
  <w:style w:type="paragraph" w:styleId="Heading4">
    <w:name w:val="heading 4"/>
    <w:basedOn w:val="Normal"/>
    <w:next w:val="Normal"/>
    <w:link w:val="Heading4Char"/>
    <w:qFormat/>
    <w:rsid w:val="0048034C"/>
    <w:pPr>
      <w:keepNext/>
      <w:keepLines/>
      <w:spacing w:after="0"/>
      <w:ind w:left="216"/>
      <w:outlineLvl w:val="3"/>
    </w:pPr>
    <w:rPr>
      <w:rFonts w:eastAsia="Times New Roman"/>
      <w:bCs/>
      <w:iCs/>
      <w:caps/>
      <w:color w:val="FFFFFF"/>
      <w:szCs w:val="20"/>
    </w:rPr>
  </w:style>
  <w:style w:type="paragraph" w:styleId="Heading5">
    <w:name w:val="heading 5"/>
    <w:basedOn w:val="Normal"/>
    <w:next w:val="Normal"/>
    <w:link w:val="Heading5Char"/>
    <w:qFormat/>
    <w:rsid w:val="0048034C"/>
    <w:pPr>
      <w:keepNext/>
      <w:keepLines/>
      <w:spacing w:before="120" w:after="0"/>
      <w:outlineLvl w:val="4"/>
    </w:pPr>
    <w:rPr>
      <w:rFonts w:eastAsia="Times New Roman"/>
      <w:caps/>
      <w:sz w:val="14"/>
      <w:szCs w:val="20"/>
    </w:rPr>
  </w:style>
  <w:style w:type="paragraph" w:styleId="Heading6">
    <w:name w:val="heading 6"/>
    <w:basedOn w:val="Normal"/>
    <w:next w:val="Normal"/>
    <w:link w:val="Heading6Char"/>
    <w:uiPriority w:val="1"/>
    <w:qFormat/>
    <w:rsid w:val="0048034C"/>
    <w:pPr>
      <w:keepNext/>
      <w:keepLines/>
      <w:spacing w:before="200" w:after="0"/>
      <w:outlineLvl w:val="5"/>
    </w:pPr>
    <w:rPr>
      <w:rFonts w:ascii="Trebuchet MS" w:eastAsia="Times New Roman" w:hAnsi="Trebuchet MS"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034C"/>
    <w:pPr>
      <w:spacing w:before="300" w:after="0"/>
      <w:ind w:right="216"/>
      <w:contextualSpacing/>
      <w:jc w:val="right"/>
    </w:pPr>
    <w:rPr>
      <w:rFonts w:ascii="Trebuchet MS" w:eastAsia="Times New Roman" w:hAnsi="Trebuchet MS"/>
      <w:color w:val="FFFFFF"/>
      <w:spacing w:val="5"/>
      <w:kern w:val="28"/>
      <w:sz w:val="72"/>
      <w:szCs w:val="52"/>
    </w:rPr>
  </w:style>
  <w:style w:type="character" w:customStyle="1" w:styleId="TitleChar">
    <w:name w:val="Title Char"/>
    <w:link w:val="Title"/>
    <w:rsid w:val="0048034C"/>
    <w:rPr>
      <w:rFonts w:ascii="Trebuchet MS" w:eastAsia="Times New Roman" w:hAnsi="Trebuchet MS" w:cs="Times New Roman"/>
      <w:color w:val="FFFFFF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48034C"/>
    <w:pPr>
      <w:numPr>
        <w:ilvl w:val="1"/>
      </w:numPr>
      <w:ind w:right="216"/>
      <w:jc w:val="right"/>
    </w:pPr>
    <w:rPr>
      <w:rFonts w:ascii="Trebuchet MS" w:eastAsia="Times New Roman" w:hAnsi="Trebuchet MS"/>
      <w:iCs/>
      <w:color w:val="FFFFFF"/>
      <w:spacing w:val="15"/>
      <w:sz w:val="52"/>
      <w:szCs w:val="24"/>
    </w:rPr>
  </w:style>
  <w:style w:type="character" w:customStyle="1" w:styleId="SubtitleChar">
    <w:name w:val="Subtitle Char"/>
    <w:link w:val="Subtitle"/>
    <w:rsid w:val="0048034C"/>
    <w:rPr>
      <w:rFonts w:ascii="Trebuchet MS" w:eastAsia="Times New Roman" w:hAnsi="Trebuchet MS" w:cs="Times New Roman"/>
      <w:iCs/>
      <w:color w:val="FFFFFF"/>
      <w:spacing w:val="15"/>
      <w:sz w:val="52"/>
      <w:szCs w:val="24"/>
    </w:rPr>
  </w:style>
  <w:style w:type="character" w:customStyle="1" w:styleId="Heading1Char">
    <w:name w:val="Heading 1 Char"/>
    <w:link w:val="Heading1"/>
    <w:rsid w:val="0048034C"/>
    <w:rPr>
      <w:rFonts w:ascii="Trebuchet MS" w:eastAsia="Times New Roman" w:hAnsi="Trebuchet MS" w:cs="Times New Roman"/>
      <w:bCs/>
      <w:color w:val="000000"/>
      <w:sz w:val="56"/>
      <w:szCs w:val="28"/>
    </w:rPr>
  </w:style>
  <w:style w:type="paragraph" w:styleId="Caption">
    <w:name w:val="caption"/>
    <w:basedOn w:val="Normal"/>
    <w:next w:val="Normal"/>
    <w:qFormat/>
    <w:rsid w:val="0048034C"/>
    <w:pPr>
      <w:spacing w:after="200"/>
    </w:pPr>
    <w:rPr>
      <w:b/>
      <w:bCs/>
      <w:i/>
      <w:color w:val="FFFFFF"/>
      <w:sz w:val="16"/>
      <w:szCs w:val="18"/>
    </w:rPr>
  </w:style>
  <w:style w:type="character" w:customStyle="1" w:styleId="Heading2Char">
    <w:name w:val="Heading 2 Char"/>
    <w:link w:val="Heading2"/>
    <w:rsid w:val="0048034C"/>
    <w:rPr>
      <w:rFonts w:ascii="Trebuchet MS" w:eastAsia="Times New Roman" w:hAnsi="Trebuchet MS" w:cs="Times New Roman"/>
      <w:bCs/>
      <w:color w:val="FF5C0B"/>
      <w:sz w:val="24"/>
      <w:szCs w:val="26"/>
    </w:rPr>
  </w:style>
  <w:style w:type="character" w:styleId="Emphasis">
    <w:name w:val="Emphasis"/>
    <w:qFormat/>
    <w:rsid w:val="0048034C"/>
    <w:rPr>
      <w:rFonts w:ascii="Trebuchet MS" w:hAnsi="Trebuchet MS"/>
      <w:i w:val="0"/>
      <w:iCs/>
      <w:color w:val="FF5C0B"/>
      <w:sz w:val="16"/>
    </w:rPr>
  </w:style>
  <w:style w:type="character" w:customStyle="1" w:styleId="Heading3Char">
    <w:name w:val="Heading 3 Char"/>
    <w:link w:val="Heading3"/>
    <w:rsid w:val="0048034C"/>
    <w:rPr>
      <w:rFonts w:ascii="Trebuchet MS" w:eastAsia="Times New Roman" w:hAnsi="Trebuchet MS" w:cs="Times New Roman"/>
      <w:bCs/>
      <w:color w:val="000000"/>
      <w:sz w:val="48"/>
    </w:rPr>
  </w:style>
  <w:style w:type="character" w:styleId="PageNumber">
    <w:name w:val="page number"/>
    <w:uiPriority w:val="99"/>
    <w:qFormat/>
    <w:rsid w:val="0048034C"/>
    <w:rPr>
      <w:rFonts w:ascii="Corbel" w:hAnsi="Corbel"/>
      <w:color w:val="FF5C0B"/>
      <w:sz w:val="20"/>
    </w:rPr>
  </w:style>
  <w:style w:type="paragraph" w:styleId="Header">
    <w:name w:val="header"/>
    <w:basedOn w:val="Normal"/>
    <w:link w:val="HeaderChar"/>
    <w:uiPriority w:val="99"/>
    <w:rsid w:val="0048034C"/>
    <w:pPr>
      <w:spacing w:after="60"/>
    </w:pPr>
    <w:rPr>
      <w:caps/>
      <w:color w:val="FF5C0B"/>
      <w:sz w:val="20"/>
      <w:szCs w:val="20"/>
    </w:rPr>
  </w:style>
  <w:style w:type="character" w:customStyle="1" w:styleId="HeaderChar">
    <w:name w:val="Header Char"/>
    <w:link w:val="Header"/>
    <w:uiPriority w:val="99"/>
    <w:rsid w:val="0048034C"/>
    <w:rPr>
      <w:caps/>
      <w:color w:val="FF5C0B"/>
      <w:sz w:val="20"/>
    </w:rPr>
  </w:style>
  <w:style w:type="paragraph" w:customStyle="1" w:styleId="Name">
    <w:name w:val="Name"/>
    <w:basedOn w:val="Normal"/>
    <w:qFormat/>
    <w:rsid w:val="0048034C"/>
    <w:rPr>
      <w:color w:val="404040"/>
      <w:sz w:val="22"/>
    </w:rPr>
  </w:style>
  <w:style w:type="paragraph" w:customStyle="1" w:styleId="SidebarTableText">
    <w:name w:val="Sidebar Table Text"/>
    <w:basedOn w:val="Normal"/>
    <w:qFormat/>
    <w:rsid w:val="0048034C"/>
    <w:rPr>
      <w:sz w:val="16"/>
    </w:rPr>
  </w:style>
  <w:style w:type="character" w:customStyle="1" w:styleId="Heading4Char">
    <w:name w:val="Heading 4 Char"/>
    <w:link w:val="Heading4"/>
    <w:rsid w:val="0048034C"/>
    <w:rPr>
      <w:rFonts w:eastAsia="Times New Roman" w:cs="Times New Roman"/>
      <w:bCs/>
      <w:iCs/>
      <w:caps/>
      <w:color w:val="FFFFFF"/>
      <w:sz w:val="18"/>
    </w:rPr>
  </w:style>
  <w:style w:type="character" w:customStyle="1" w:styleId="Heading5Char">
    <w:name w:val="Heading 5 Char"/>
    <w:link w:val="Heading5"/>
    <w:rsid w:val="0048034C"/>
    <w:rPr>
      <w:rFonts w:eastAsia="Times New Roman" w:cs="Times New Roman"/>
      <w:caps/>
      <w:color w:val="262626"/>
      <w:sz w:val="14"/>
    </w:rPr>
  </w:style>
  <w:style w:type="paragraph" w:customStyle="1" w:styleId="ContactInfo">
    <w:name w:val="Contact Info"/>
    <w:basedOn w:val="Normal"/>
    <w:qFormat/>
    <w:rsid w:val="0048034C"/>
    <w:pPr>
      <w:spacing w:after="120"/>
    </w:pPr>
    <w:rPr>
      <w:color w:val="808080"/>
      <w:sz w:val="16"/>
      <w:lang w:val="fr-FR"/>
    </w:rPr>
  </w:style>
  <w:style w:type="paragraph" w:customStyle="1" w:styleId="Caption2">
    <w:name w:val="Caption 2"/>
    <w:basedOn w:val="Normal"/>
    <w:qFormat/>
    <w:rsid w:val="0048034C"/>
    <w:pPr>
      <w:spacing w:after="0"/>
    </w:pPr>
    <w:rPr>
      <w:i/>
      <w:color w:val="7F7F7F"/>
      <w:sz w:val="16"/>
    </w:rPr>
  </w:style>
  <w:style w:type="paragraph" w:customStyle="1" w:styleId="Callout">
    <w:name w:val="Callout"/>
    <w:basedOn w:val="Normal"/>
    <w:qFormat/>
    <w:rsid w:val="0048034C"/>
    <w:pPr>
      <w:spacing w:before="40" w:after="0"/>
      <w:ind w:left="-216"/>
    </w:pPr>
    <w:rPr>
      <w:rFonts w:ascii="Trebuchet MS" w:hAnsi="Trebuchet MS"/>
      <w:color w:val="D9D9D9"/>
      <w:sz w:val="72"/>
    </w:rPr>
  </w:style>
  <w:style w:type="paragraph" w:customStyle="1" w:styleId="SidebarText">
    <w:name w:val="Sidebar Text"/>
    <w:basedOn w:val="Normal"/>
    <w:qFormat/>
    <w:rsid w:val="0048034C"/>
    <w:pPr>
      <w:ind w:left="-216" w:right="-144"/>
    </w:pPr>
    <w:rPr>
      <w:sz w:val="16"/>
    </w:rPr>
  </w:style>
  <w:style w:type="character" w:customStyle="1" w:styleId="Heading6Char">
    <w:name w:val="Heading 6 Char"/>
    <w:link w:val="Heading6"/>
    <w:uiPriority w:val="1"/>
    <w:rsid w:val="0048034C"/>
    <w:rPr>
      <w:rFonts w:ascii="Trebuchet MS" w:eastAsia="Times New Roman" w:hAnsi="Trebuchet MS" w:cs="Times New Roman"/>
      <w:iCs/>
      <w:color w:val="262626"/>
      <w:sz w:val="20"/>
    </w:rPr>
  </w:style>
  <w:style w:type="paragraph" w:customStyle="1" w:styleId="Title-Back">
    <w:name w:val="Title-Back"/>
    <w:basedOn w:val="Normal"/>
    <w:qFormat/>
    <w:rsid w:val="0048034C"/>
    <w:pPr>
      <w:spacing w:before="120" w:after="0"/>
      <w:jc w:val="right"/>
    </w:pPr>
    <w:rPr>
      <w:rFonts w:ascii="Trebuchet MS" w:hAnsi="Trebuchet MS"/>
      <w:color w:val="FFFFFF"/>
      <w:sz w:val="56"/>
    </w:rPr>
  </w:style>
  <w:style w:type="paragraph" w:customStyle="1" w:styleId="Subtitle-Back">
    <w:name w:val="Subtitle-Back"/>
    <w:basedOn w:val="Normal"/>
    <w:qFormat/>
    <w:rsid w:val="0048034C"/>
    <w:pPr>
      <w:spacing w:after="1200"/>
      <w:jc w:val="right"/>
    </w:pPr>
    <w:rPr>
      <w:rFonts w:ascii="Trebuchet MS" w:hAnsi="Trebuchet MS"/>
      <w:color w:val="FFFFFF"/>
      <w:sz w:val="44"/>
    </w:rPr>
  </w:style>
  <w:style w:type="paragraph" w:customStyle="1" w:styleId="ReturnAddress">
    <w:name w:val="Return Address"/>
    <w:basedOn w:val="Normal"/>
    <w:qFormat/>
    <w:rsid w:val="0048034C"/>
    <w:pPr>
      <w:spacing w:after="240"/>
      <w:jc w:val="right"/>
    </w:pPr>
    <w:rPr>
      <w:color w:val="FFFFFF"/>
      <w:sz w:val="22"/>
    </w:rPr>
  </w:style>
  <w:style w:type="paragraph" w:customStyle="1" w:styleId="Address">
    <w:name w:val="Address"/>
    <w:basedOn w:val="Normal"/>
    <w:qFormat/>
    <w:rsid w:val="0048034C"/>
    <w:pPr>
      <w:spacing w:after="0"/>
    </w:pPr>
    <w:rPr>
      <w:sz w:val="20"/>
    </w:rPr>
  </w:style>
  <w:style w:type="table" w:styleId="TableGrid">
    <w:name w:val="Table Grid"/>
    <w:basedOn w:val="TableNormal"/>
    <w:uiPriority w:val="39"/>
    <w:rsid w:val="0048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034C"/>
    <w:pPr>
      <w:spacing w:after="60"/>
    </w:pPr>
    <w:rPr>
      <w:noProof/>
      <w:color w:val="262626"/>
      <w:sz w:val="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4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4C"/>
    <w:rPr>
      <w:rFonts w:ascii="Tahoma" w:hAnsi="Tahoma" w:cs="Tahoma"/>
      <w:color w:val="262626"/>
      <w:sz w:val="16"/>
      <w:szCs w:val="16"/>
    </w:rPr>
  </w:style>
  <w:style w:type="character" w:styleId="PlaceholderText">
    <w:name w:val="Placeholder Text"/>
    <w:uiPriority w:val="99"/>
    <w:semiHidden/>
    <w:rsid w:val="0048034C"/>
    <w:rPr>
      <w:color w:val="808080"/>
    </w:rPr>
  </w:style>
  <w:style w:type="paragraph" w:customStyle="1" w:styleId="IssueNumber">
    <w:name w:val="Issue Number"/>
    <w:basedOn w:val="Header"/>
    <w:link w:val="IssueNumberChar"/>
    <w:qFormat/>
    <w:rsid w:val="0048034C"/>
    <w:pPr>
      <w:jc w:val="right"/>
    </w:pPr>
    <w:rPr>
      <w:caps w:val="0"/>
      <w:color w:val="808080"/>
    </w:rPr>
  </w:style>
  <w:style w:type="paragraph" w:styleId="NormalWeb">
    <w:name w:val="Normal (Web)"/>
    <w:basedOn w:val="Normal"/>
    <w:uiPriority w:val="99"/>
    <w:semiHidden/>
    <w:unhideWhenUsed/>
    <w:rsid w:val="0048034C"/>
    <w:pPr>
      <w:spacing w:after="210" w:line="210" w:lineRule="atLeast"/>
      <w:jc w:val="both"/>
    </w:pPr>
    <w:rPr>
      <w:rFonts w:ascii="Times New Roman" w:eastAsia="Times New Roman" w:hAnsi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rsid w:val="0048034C"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link w:val="IssueNumber"/>
    <w:rsid w:val="0048034C"/>
    <w:rPr>
      <w:color w:val="808080"/>
      <w:sz w:val="20"/>
    </w:rPr>
  </w:style>
  <w:style w:type="paragraph" w:styleId="Footer">
    <w:name w:val="footer"/>
    <w:basedOn w:val="Normal"/>
    <w:link w:val="FooterChar"/>
    <w:uiPriority w:val="99"/>
    <w:unhideWhenUsed/>
    <w:rsid w:val="0048034C"/>
    <w:pPr>
      <w:tabs>
        <w:tab w:val="center" w:pos="4680"/>
        <w:tab w:val="right" w:pos="9360"/>
      </w:tabs>
      <w:spacing w:after="0"/>
    </w:pPr>
    <w:rPr>
      <w:szCs w:val="20"/>
    </w:rPr>
  </w:style>
  <w:style w:type="character" w:customStyle="1" w:styleId="FooterChar">
    <w:name w:val="Footer Char"/>
    <w:link w:val="Footer"/>
    <w:uiPriority w:val="99"/>
    <w:rsid w:val="0048034C"/>
    <w:rPr>
      <w:color w:val="262626"/>
      <w:sz w:val="18"/>
    </w:rPr>
  </w:style>
  <w:style w:type="character" w:styleId="CommentReference">
    <w:name w:val="annotation reference"/>
    <w:uiPriority w:val="99"/>
    <w:semiHidden/>
    <w:unhideWhenUsed/>
    <w:rsid w:val="004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034C"/>
    <w:rPr>
      <w:color w:val="2626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3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34C"/>
    <w:rPr>
      <w:b/>
      <w:bCs/>
      <w:color w:val="262626"/>
      <w:sz w:val="20"/>
      <w:szCs w:val="20"/>
    </w:rPr>
  </w:style>
  <w:style w:type="character" w:styleId="FollowedHyperlink">
    <w:name w:val="FollowedHyperlink"/>
    <w:uiPriority w:val="99"/>
    <w:semiHidden/>
    <w:unhideWhenUsed/>
    <w:rsid w:val="0048034C"/>
    <w:rPr>
      <w:color w:val="E3791C"/>
      <w:u w:val="single"/>
    </w:rPr>
  </w:style>
  <w:style w:type="character" w:styleId="Hyperlink">
    <w:name w:val="Hyperlink"/>
    <w:uiPriority w:val="99"/>
    <w:unhideWhenUsed/>
    <w:rsid w:val="0048034C"/>
    <w:rPr>
      <w:color w:val="BC2700"/>
      <w:u w:val="single"/>
    </w:rPr>
  </w:style>
  <w:style w:type="paragraph" w:styleId="ListBullet">
    <w:name w:val="List Bullet"/>
    <w:basedOn w:val="Normal"/>
    <w:unhideWhenUsed/>
    <w:rsid w:val="0048034C"/>
    <w:pPr>
      <w:numPr>
        <w:numId w:val="6"/>
      </w:numPr>
      <w:contextualSpacing/>
    </w:pPr>
    <w:rPr>
      <w:b/>
    </w:rPr>
  </w:style>
  <w:style w:type="paragraph" w:styleId="ListContinue">
    <w:name w:val="List Continue"/>
    <w:basedOn w:val="Normal"/>
    <w:unhideWhenUsed/>
    <w:rsid w:val="0048034C"/>
    <w:pPr>
      <w:spacing w:after="120"/>
      <w:ind w:left="360"/>
    </w:pPr>
  </w:style>
  <w:style w:type="paragraph" w:customStyle="1" w:styleId="PageReference">
    <w:name w:val="Page Reference"/>
    <w:basedOn w:val="Normal"/>
    <w:qFormat/>
    <w:rsid w:val="0048034C"/>
    <w:pPr>
      <w:jc w:val="right"/>
    </w:pPr>
    <w:rPr>
      <w:color w:val="000000"/>
      <w:sz w:val="20"/>
    </w:rPr>
  </w:style>
  <w:style w:type="paragraph" w:customStyle="1" w:styleId="SidebarHighlightText">
    <w:name w:val="Sidebar Highlight Text"/>
    <w:basedOn w:val="Normal"/>
    <w:qFormat/>
    <w:rsid w:val="0048034C"/>
    <w:pPr>
      <w:spacing w:after="80"/>
      <w:ind w:left="-216"/>
    </w:pPr>
    <w:rPr>
      <w:rFonts w:ascii="Trebuchet MS" w:hAnsi="Trebuchet MS"/>
      <w:color w:val="595959"/>
      <w:sz w:val="24"/>
    </w:rPr>
  </w:style>
  <w:style w:type="character" w:styleId="Strong">
    <w:name w:val="Strong"/>
    <w:qFormat/>
    <w:rsid w:val="0048034C"/>
    <w:rPr>
      <w:b/>
      <w:bCs/>
    </w:rPr>
  </w:style>
  <w:style w:type="paragraph" w:customStyle="1" w:styleId="HeaderSpace">
    <w:name w:val="Header Space"/>
    <w:basedOn w:val="Normal"/>
    <w:qFormat/>
    <w:rsid w:val="0048034C"/>
    <w:pPr>
      <w:spacing w:after="60"/>
      <w:ind w:left="-230"/>
    </w:pPr>
  </w:style>
  <w:style w:type="paragraph" w:styleId="ListNumber">
    <w:name w:val="List Number"/>
    <w:basedOn w:val="Normal"/>
    <w:uiPriority w:val="99"/>
    <w:unhideWhenUsed/>
    <w:rsid w:val="0048034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48034C"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rsid w:val="0048034C"/>
    <w:pPr>
      <w:spacing w:before="120" w:after="0"/>
      <w:ind w:left="-216" w:right="-144"/>
    </w:pPr>
    <w:rPr>
      <w:rFonts w:ascii="Trebuchet MS" w:hAnsi="Trebuchet MS"/>
      <w:color w:val="FF5C0B"/>
      <w:sz w:val="24"/>
      <w:szCs w:val="24"/>
    </w:rPr>
  </w:style>
  <w:style w:type="paragraph" w:customStyle="1" w:styleId="SidebarPhoto0">
    <w:name w:val="Sidebar Photo"/>
    <w:basedOn w:val="Normal"/>
    <w:qFormat/>
    <w:rsid w:val="0048034C"/>
    <w:pPr>
      <w:spacing w:after="0"/>
      <w:ind w:left="-317"/>
    </w:pPr>
    <w:rPr>
      <w:noProof/>
      <w:sz w:val="12"/>
    </w:rPr>
  </w:style>
  <w:style w:type="paragraph" w:styleId="ListParagraph">
    <w:name w:val="List Paragraph"/>
    <w:basedOn w:val="Normal"/>
    <w:uiPriority w:val="34"/>
    <w:qFormat/>
    <w:rsid w:val="00311F7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</w:rPr>
  </w:style>
  <w:style w:type="paragraph" w:customStyle="1" w:styleId="NoSpacing1">
    <w:name w:val="No Spacing1"/>
    <w:uiPriority w:val="1"/>
    <w:qFormat/>
    <w:rsid w:val="00AE7C1E"/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yiv1181978106msonormal">
    <w:name w:val="yiv1181978106msonormal"/>
    <w:basedOn w:val="Normal"/>
    <w:rsid w:val="00AE7C1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3832573540gmail-msonormal">
    <w:name w:val="yiv3832573540gmail-msonormal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2358686167gmail-nospacing1">
    <w:name w:val="yiv2358686167gmail-nospacing1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2358686167gmail-yiv1181978106msonormal">
    <w:name w:val="yiv2358686167gmail-yiv1181978106msonormal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5703590321gmail-yiv2358686167gmail-nospacing1">
    <w:name w:val="yiv5703590321gmail-yiv2358686167gmail-nospacing1"/>
    <w:basedOn w:val="Normal"/>
    <w:rsid w:val="005F25EA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msonormal">
    <w:name w:val="yiv7694802576msonormal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gmail-yiv5703590321gmail-yiv2358686167gmail-nospacing1">
    <w:name w:val="yiv7694802576gmail-yiv5703590321gmail-yiv2358686167gmail-nospacing1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gmail-yiv3832573540gmail-msonormal">
    <w:name w:val="yiv7694802576gmail-yiv3832573540gmail-msonormal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table" w:styleId="LightShading-Accent3">
    <w:name w:val="Light Shading Accent 3"/>
    <w:basedOn w:val="TableNormal"/>
    <w:uiPriority w:val="60"/>
    <w:rsid w:val="00E275B0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0C2400"/>
    <w:rPr>
      <w:rFonts w:ascii="Calibri" w:eastAsia="Calibri" w:hAnsi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kelqim\AppData\Roaming\Microsoft\Templates\Newsletter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14%20SH\popullata%20bash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na-Kureta\Desktop\BULETIN%202025\analiz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User\OneDrive\Desktop\ISHP\HIV%20AIDS\Grafik%20HIV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User\OneDrive\Desktop\ISHP\HIV%20AIDS\Grafik%20HIV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\DAY%202\Buletini%2014-sh%202025\COVID%20Analiza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\DAY%202\Buletini%2014-sh%202025\COVID%20Analiza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na-Kureta\Desktop\WNV%202025\krahasim%20dy%20vite%20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BD-4095-A9DD-9FDD2293948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BD-4095-A9DD-9FDD2293948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BD-4095-A9DD-9FDD2293948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BD-4095-A9DD-9FDD22939489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BD-4095-A9DD-9FDD22939489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BD-4095-A9DD-9FDD22939489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BD-4095-A9DD-9FDD22939489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BD-4095-A9DD-9FDD22939489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BD-4095-A9DD-9FDD229394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Varicela!$G$12:$G$26</c:f>
              <c:strCache>
                <c:ptCount val="15"/>
                <c:pt idx="0">
                  <c:v>&lt;1vjec</c:v>
                </c:pt>
                <c:pt idx="1">
                  <c:v>1-4</c:v>
                </c:pt>
                <c:pt idx="2">
                  <c:v>4-9</c:v>
                </c:pt>
                <c:pt idx="3">
                  <c:v>10-14</c:v>
                </c:pt>
                <c:pt idx="4">
                  <c:v>15-19</c:v>
                </c:pt>
                <c:pt idx="5">
                  <c:v>20-24</c:v>
                </c:pt>
                <c:pt idx="6">
                  <c:v>25-29</c:v>
                </c:pt>
                <c:pt idx="7">
                  <c:v>30-34</c:v>
                </c:pt>
                <c:pt idx="8">
                  <c:v>35-39</c:v>
                </c:pt>
                <c:pt idx="9">
                  <c:v>40-44</c:v>
                </c:pt>
                <c:pt idx="10">
                  <c:v>45-49</c:v>
                </c:pt>
                <c:pt idx="11">
                  <c:v>50-54</c:v>
                </c:pt>
                <c:pt idx="12">
                  <c:v>55-59</c:v>
                </c:pt>
                <c:pt idx="13">
                  <c:v>60-64</c:v>
                </c:pt>
                <c:pt idx="14">
                  <c:v>65+</c:v>
                </c:pt>
              </c:strCache>
            </c:strRef>
          </c:cat>
          <c:val>
            <c:numRef>
              <c:f>Varicela!$H$12:$H$26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21</c:v>
                </c:pt>
                <c:pt idx="3">
                  <c:v>9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BD-4095-A9DD-9FDD229394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3454080"/>
        <c:axId val="1863455520"/>
      </c:barChart>
      <c:catAx>
        <c:axId val="1863454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Mosha, vite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455520"/>
        <c:crosses val="autoZero"/>
        <c:auto val="1"/>
        <c:lblAlgn val="ctr"/>
        <c:lblOffset val="100"/>
        <c:noMultiLvlLbl val="0"/>
      </c:catAx>
      <c:valAx>
        <c:axId val="186345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45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fruth!$N$5</c:f>
              <c:strCache>
                <c:ptCount val="1"/>
                <c:pt idx="0">
                  <c:v>Raste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fruth!$M$6:$M$13</c:f>
              <c:strCache>
                <c:ptCount val="8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</c:strCache>
            </c:strRef>
          </c:cat>
          <c:val>
            <c:numRef>
              <c:f>fruth!$N$6:$N$13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  <c:pt idx="2">
                  <c:v>10</c:v>
                </c:pt>
                <c:pt idx="4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B2-42BE-A210-F02678BE6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613031600"/>
        <c:axId val="695493840"/>
      </c:barChart>
      <c:catAx>
        <c:axId val="613031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Muaj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5493840"/>
        <c:crosses val="autoZero"/>
        <c:auto val="1"/>
        <c:lblAlgn val="ctr"/>
        <c:lblOffset val="100"/>
        <c:noMultiLvlLbl val="0"/>
      </c:catAx>
      <c:valAx>
        <c:axId val="6954938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Raste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03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39735119316982E-2"/>
          <c:y val="0.13732004429678848"/>
          <c:w val="0.91626165263824777"/>
          <c:h val="0.658589653037556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Meshkuj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Të testuar</c:v>
                </c:pt>
                <c:pt idx="1">
                  <c:v>Të konfirmuar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4-48ED-B911-E2AA7091F6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Femra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Të testuar</c:v>
                </c:pt>
                <c:pt idx="1">
                  <c:v>Të konfirmuar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84-48ED-B911-E2AA7091F6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736470143"/>
        <c:axId val="736471807"/>
      </c:barChart>
      <c:catAx>
        <c:axId val="736470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471807"/>
        <c:crosses val="autoZero"/>
        <c:auto val="1"/>
        <c:lblAlgn val="ctr"/>
        <c:lblOffset val="100"/>
        <c:noMultiLvlLbl val="0"/>
      </c:catAx>
      <c:valAx>
        <c:axId val="73647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47014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Sheet1!$A$19:$A$23</c:f>
              <c:strCache>
                <c:ptCount val="5"/>
                <c:pt idx="0">
                  <c:v>Elbasan</c:v>
                </c:pt>
                <c:pt idx="1">
                  <c:v>Lezhë</c:v>
                </c:pt>
                <c:pt idx="2">
                  <c:v>Kavajë</c:v>
                </c:pt>
                <c:pt idx="3">
                  <c:v>Shkodër</c:v>
                </c:pt>
                <c:pt idx="4">
                  <c:v>Tiranë</c:v>
                </c:pt>
              </c:strCache>
            </c:strRef>
          </c:cat>
          <c:val>
            <c:numRef>
              <c:f>Sheet1!$B$19:$B$23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7-4D92-8DFA-D0DF1BED19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24627760"/>
        <c:axId val="2124626096"/>
      </c:barChart>
      <c:catAx>
        <c:axId val="212462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626096"/>
        <c:crosses val="autoZero"/>
        <c:auto val="1"/>
        <c:lblAlgn val="ctr"/>
        <c:lblOffset val="100"/>
        <c:noMultiLvlLbl val="0"/>
      </c:catAx>
      <c:valAx>
        <c:axId val="212462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6277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02537182852142"/>
          <c:y val="5.0925925925925923E-2"/>
          <c:w val="0.86841907261592299"/>
          <c:h val="0.743503207932341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'analiza 2025'!$C$4:$C$12</c:f>
              <c:strCache>
                <c:ptCount val="9"/>
                <c:pt idx="0">
                  <c:v>0-04</c:v>
                </c:pt>
                <c:pt idx="1">
                  <c:v>05-14</c:v>
                </c:pt>
                <c:pt idx="2">
                  <c:v>15-24</c:v>
                </c:pt>
                <c:pt idx="3">
                  <c:v>25-34</c:v>
                </c:pt>
                <c:pt idx="4">
                  <c:v>35-44</c:v>
                </c:pt>
                <c:pt idx="5">
                  <c:v>45-54</c:v>
                </c:pt>
                <c:pt idx="6">
                  <c:v>55-64</c:v>
                </c:pt>
                <c:pt idx="7">
                  <c:v>65-74</c:v>
                </c:pt>
                <c:pt idx="8">
                  <c:v>75+</c:v>
                </c:pt>
              </c:strCache>
            </c:strRef>
          </c:cat>
          <c:val>
            <c:numRef>
              <c:f>'analiza 2025'!$F$4:$F$12</c:f>
              <c:numCache>
                <c:formatCode>General</c:formatCode>
                <c:ptCount val="9"/>
                <c:pt idx="0">
                  <c:v>32</c:v>
                </c:pt>
                <c:pt idx="1">
                  <c:v>11</c:v>
                </c:pt>
                <c:pt idx="2">
                  <c:v>22</c:v>
                </c:pt>
                <c:pt idx="3">
                  <c:v>56</c:v>
                </c:pt>
                <c:pt idx="4">
                  <c:v>46</c:v>
                </c:pt>
                <c:pt idx="5">
                  <c:v>56</c:v>
                </c:pt>
                <c:pt idx="6">
                  <c:v>72</c:v>
                </c:pt>
                <c:pt idx="7">
                  <c:v>64</c:v>
                </c:pt>
                <c:pt idx="8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7-4D73-9098-446A9ABDA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0936128"/>
        <c:axId val="1533469072"/>
      </c:barChart>
      <c:catAx>
        <c:axId val="1630936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Grupmosha (vjec)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469072"/>
        <c:crosses val="autoZero"/>
        <c:auto val="1"/>
        <c:lblAlgn val="ctr"/>
        <c:lblOffset val="100"/>
        <c:noMultiLvlLbl val="0"/>
      </c:catAx>
      <c:valAx>
        <c:axId val="153346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Nr. rastesh</a:t>
                </a:r>
              </a:p>
            </c:rich>
          </c:tx>
          <c:layout>
            <c:manualLayout>
              <c:xMode val="edge"/>
              <c:yMode val="edge"/>
              <c:x val="0.12222222222222222"/>
              <c:y val="2.17399387576552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093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99825021872265"/>
          <c:y val="5.5033902012248469E-2"/>
          <c:w val="0.79844619422572194"/>
          <c:h val="0.7995804170312044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Sheet1!$B$3:$B$40</c:f>
              <c:strCache>
                <c:ptCount val="38"/>
                <c:pt idx="0">
                  <c:v>Tiranë</c:v>
                </c:pt>
                <c:pt idx="1">
                  <c:v>Fier</c:v>
                </c:pt>
                <c:pt idx="2">
                  <c:v>Durrës</c:v>
                </c:pt>
                <c:pt idx="3">
                  <c:v>Vlorë</c:v>
                </c:pt>
                <c:pt idx="4">
                  <c:v>Kamez</c:v>
                </c:pt>
                <c:pt idx="5">
                  <c:v>Tepelene</c:v>
                </c:pt>
                <c:pt idx="6">
                  <c:v>Rrogozhinë</c:v>
                </c:pt>
                <c:pt idx="7">
                  <c:v>Memaliaj</c:v>
                </c:pt>
                <c:pt idx="8">
                  <c:v>Lezhë</c:v>
                </c:pt>
                <c:pt idx="9">
                  <c:v>Korçë</c:v>
                </c:pt>
                <c:pt idx="10">
                  <c:v>Gjirokaster</c:v>
                </c:pt>
                <c:pt idx="11">
                  <c:v>Maliq</c:v>
                </c:pt>
                <c:pt idx="12">
                  <c:v>Kavajë</c:v>
                </c:pt>
                <c:pt idx="13">
                  <c:v>Elbasan</c:v>
                </c:pt>
                <c:pt idx="14">
                  <c:v>Himare</c:v>
                </c:pt>
                <c:pt idx="15">
                  <c:v>Belsh</c:v>
                </c:pt>
                <c:pt idx="16">
                  <c:v>Roskovec</c:v>
                </c:pt>
                <c:pt idx="17">
                  <c:v>Shkodër</c:v>
                </c:pt>
                <c:pt idx="18">
                  <c:v>Devoll</c:v>
                </c:pt>
                <c:pt idx="19">
                  <c:v>Pogradec</c:v>
                </c:pt>
                <c:pt idx="20">
                  <c:v>Kolonje</c:v>
                </c:pt>
                <c:pt idx="21">
                  <c:v>Patos</c:v>
                </c:pt>
                <c:pt idx="22">
                  <c:v>Polican</c:v>
                </c:pt>
                <c:pt idx="23">
                  <c:v>Lushnje</c:v>
                </c:pt>
                <c:pt idx="24">
                  <c:v>Pukë</c:v>
                </c:pt>
                <c:pt idx="25">
                  <c:v>Berat</c:v>
                </c:pt>
                <c:pt idx="26">
                  <c:v>Librazhd</c:v>
                </c:pt>
                <c:pt idx="27">
                  <c:v>Delvine</c:v>
                </c:pt>
                <c:pt idx="28">
                  <c:v>Prrenjas</c:v>
                </c:pt>
                <c:pt idx="29">
                  <c:v>Vore</c:v>
                </c:pt>
                <c:pt idx="30">
                  <c:v>Kurbin</c:v>
                </c:pt>
                <c:pt idx="31">
                  <c:v>Malesi e Madhe</c:v>
                </c:pt>
                <c:pt idx="32">
                  <c:v>Shijak</c:v>
                </c:pt>
                <c:pt idx="33">
                  <c:v>Kukës</c:v>
                </c:pt>
                <c:pt idx="34">
                  <c:v>Divjake</c:v>
                </c:pt>
                <c:pt idx="35">
                  <c:v>Diber</c:v>
                </c:pt>
                <c:pt idx="36">
                  <c:v>Skrapar</c:v>
                </c:pt>
                <c:pt idx="37">
                  <c:v>Cerrik</c:v>
                </c:pt>
              </c:strCache>
            </c:strRef>
          </c:cat>
          <c:val>
            <c:numRef>
              <c:f>Sheet1!$C$3:$C$40</c:f>
              <c:numCache>
                <c:formatCode>General</c:formatCode>
                <c:ptCount val="38"/>
                <c:pt idx="0">
                  <c:v>122</c:v>
                </c:pt>
                <c:pt idx="1">
                  <c:v>35</c:v>
                </c:pt>
                <c:pt idx="2">
                  <c:v>30</c:v>
                </c:pt>
                <c:pt idx="3">
                  <c:v>30</c:v>
                </c:pt>
                <c:pt idx="4">
                  <c:v>17</c:v>
                </c:pt>
                <c:pt idx="5">
                  <c:v>15</c:v>
                </c:pt>
                <c:pt idx="6">
                  <c:v>11</c:v>
                </c:pt>
                <c:pt idx="7">
                  <c:v>11</c:v>
                </c:pt>
                <c:pt idx="8">
                  <c:v>10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8</c:v>
                </c:pt>
                <c:pt idx="13">
                  <c:v>7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3</c:v>
                </c:pt>
                <c:pt idx="24">
                  <c:v>3</c:v>
                </c:pt>
                <c:pt idx="25">
                  <c:v>3</c:v>
                </c:pt>
                <c:pt idx="26">
                  <c:v>3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B4-4677-BCF5-51387B21D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33167552"/>
        <c:axId val="1396019040"/>
      </c:barChart>
      <c:catAx>
        <c:axId val="1633167552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Bashkite</a:t>
                </a:r>
              </a:p>
            </c:rich>
          </c:tx>
          <c:layout>
            <c:manualLayout>
              <c:xMode val="edge"/>
              <c:yMode val="edge"/>
              <c:x val="0.18611111111111112"/>
              <c:y val="2.3793744531933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019040"/>
        <c:crosses val="autoZero"/>
        <c:auto val="1"/>
        <c:lblAlgn val="ctr"/>
        <c:lblOffset val="100"/>
        <c:noMultiLvlLbl val="0"/>
      </c:catAx>
      <c:valAx>
        <c:axId val="1396019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Nr. rastesh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316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Sheet1!$L$8</c:f>
              <c:strCache>
                <c:ptCount val="1"/>
                <c:pt idx="0">
                  <c:v>Raste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Sheet1!$M$7:$N$7</c:f>
              <c:strCache>
                <c:ptCount val="2"/>
                <c:pt idx="0">
                  <c:v>Korrik</c:v>
                </c:pt>
                <c:pt idx="1">
                  <c:v>Gusht</c:v>
                </c:pt>
              </c:strCache>
            </c:strRef>
          </c:cat>
          <c:val>
            <c:numRef>
              <c:f>Sheet1!$M$8:$N$8</c:f>
              <c:numCache>
                <c:formatCode>General</c:formatCode>
                <c:ptCount val="2"/>
                <c:pt idx="0">
                  <c:v>26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09-4B1B-BE36-99C908D81D00}"/>
            </c:ext>
          </c:extLst>
        </c:ser>
        <c:ser>
          <c:idx val="1"/>
          <c:order val="1"/>
          <c:tx>
            <c:strRef>
              <c:f>Sheet1!$L$9</c:f>
              <c:strCache>
                <c:ptCount val="1"/>
                <c:pt idx="0">
                  <c:v>Raste 2025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Sheet1!$M$7:$N$7</c:f>
              <c:strCache>
                <c:ptCount val="2"/>
                <c:pt idx="0">
                  <c:v>Korrik</c:v>
                </c:pt>
                <c:pt idx="1">
                  <c:v>Gusht</c:v>
                </c:pt>
              </c:strCache>
            </c:strRef>
          </c:cat>
          <c:val>
            <c:numRef>
              <c:f>Sheet1!$M$9:$N$9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09-4B1B-BE36-99C908D81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0847295"/>
        <c:axId val="1235670655"/>
      </c:barChart>
      <c:catAx>
        <c:axId val="20908472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Muaj</a:t>
                </a:r>
              </a:p>
            </c:rich>
          </c:tx>
          <c:layout>
            <c:manualLayout>
              <c:xMode val="edge"/>
              <c:yMode val="edge"/>
              <c:x val="0.46831124234470689"/>
              <c:y val="0.791295567220764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5670655"/>
        <c:crosses val="autoZero"/>
        <c:auto val="1"/>
        <c:lblAlgn val="ctr"/>
        <c:lblOffset val="100"/>
        <c:noMultiLvlLbl val="0"/>
      </c:catAx>
      <c:valAx>
        <c:axId val="123567065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Raste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847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209448818897637"/>
          <c:y val="9.780037911927672E-2"/>
          <c:w val="0.3358110236220472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5c48e-90d5-4707-a251-cb32a43d81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3DEEFBEF944D8FAF8313A77D3EAD" ma:contentTypeVersion="16" ma:contentTypeDescription="Create a new document." ma:contentTypeScope="" ma:versionID="69acd04f8121f09f19f35634a7b24953">
  <xsd:schema xmlns:xsd="http://www.w3.org/2001/XMLSchema" xmlns:xs="http://www.w3.org/2001/XMLSchema" xmlns:p="http://schemas.microsoft.com/office/2006/metadata/properties" xmlns:ns3="ba95c48e-90d5-4707-a251-cb32a43d81fc" xmlns:ns4="59dba0b1-2331-413a-bf70-42d6a4da40c1" targetNamespace="http://schemas.microsoft.com/office/2006/metadata/properties" ma:root="true" ma:fieldsID="737adcdebbd0f424b1afde323b513d8f" ns3:_="" ns4:_="">
    <xsd:import namespace="ba95c48e-90d5-4707-a251-cb32a43d81fc"/>
    <xsd:import namespace="59dba0b1-2331-413a-bf70-42d6a4da4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c48e-90d5-4707-a251-cb32a43d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a0b1-2331-413a-bf70-42d6a4da4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F96C-C0D1-40B9-B407-EAA8E3831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7F018-F2C2-4D2F-807F-1413DC6754FA}">
  <ds:schemaRefs>
    <ds:schemaRef ds:uri="http://schemas.microsoft.com/office/2006/metadata/properties"/>
    <ds:schemaRef ds:uri="http://schemas.microsoft.com/office/infopath/2007/PartnerControls"/>
    <ds:schemaRef ds:uri="ba95c48e-90d5-4707-a251-cb32a43d81fc"/>
  </ds:schemaRefs>
</ds:datastoreItem>
</file>

<file path=customXml/itemProps3.xml><?xml version="1.0" encoding="utf-8"?>
<ds:datastoreItem xmlns:ds="http://schemas.openxmlformats.org/officeDocument/2006/customXml" ds:itemID="{3EC0DC44-A755-4D2E-8BF8-E359A3F7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c48e-90d5-4707-a251-cb32a43d81fc"/>
    <ds:schemaRef ds:uri="59dba0b1-2331-413a-bf70-42d6a4da4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096F9-CF17-4CDD-9D4B-232E8748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0</TotalTime>
  <Pages>11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n0ak95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Title</dc:subject>
  <dc:creator>Shkelqim</dc:creator>
  <cp:lastModifiedBy>HP</cp:lastModifiedBy>
  <cp:revision>2</cp:revision>
  <cp:lastPrinted>2022-05-05T10:55:00Z</cp:lastPrinted>
  <dcterms:created xsi:type="dcterms:W3CDTF">2025-12-01T14:37:00Z</dcterms:created>
  <dcterms:modified xsi:type="dcterms:W3CDTF">2025-12-01T14:37:00Z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  <property fmtid="{D5CDD505-2E9C-101B-9397-08002B2CF9AE}" pid="3" name="ContentTypeId">
    <vt:lpwstr>0x010100817A3DEEFBEF944D8FAF8313A77D3EAD</vt:lpwstr>
  </property>
</Properties>
</file>