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978" w:type="dxa"/>
        <w:tblLayout w:type="fixed"/>
        <w:tblLook w:val="04A0" w:firstRow="1" w:lastRow="0" w:firstColumn="1" w:lastColumn="0" w:noHBand="0" w:noVBand="1"/>
      </w:tblPr>
      <w:tblGrid>
        <w:gridCol w:w="1368"/>
        <w:gridCol w:w="2610"/>
        <w:gridCol w:w="3927"/>
        <w:gridCol w:w="33"/>
        <w:gridCol w:w="3600"/>
        <w:gridCol w:w="270"/>
        <w:gridCol w:w="1142"/>
        <w:gridCol w:w="28"/>
      </w:tblGrid>
      <w:tr w:rsidR="009D4A8C" w:rsidRPr="00776413" w:rsidTr="005345A9">
        <w:trPr>
          <w:gridAfter w:val="1"/>
          <w:wAfter w:w="28" w:type="dxa"/>
        </w:trPr>
        <w:tc>
          <w:tcPr>
            <w:tcW w:w="1368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r.Rendor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D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ata e kërkesës</w:t>
            </w:r>
          </w:p>
        </w:tc>
        <w:tc>
          <w:tcPr>
            <w:tcW w:w="3960" w:type="dxa"/>
            <w:gridSpan w:val="2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O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bjekti</w:t>
            </w:r>
            <w:r w:rsidR="009D4A8C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I 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kërkesës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5B0F62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Përgjigje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9D4A8C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9D4A8C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T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arifa</w:t>
            </w:r>
          </w:p>
        </w:tc>
      </w:tr>
      <w:tr w:rsidR="009D4A8C" w:rsidTr="005345A9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1.</w:t>
            </w:r>
          </w:p>
        </w:tc>
        <w:tc>
          <w:tcPr>
            <w:tcW w:w="2610" w:type="dxa"/>
          </w:tcPr>
          <w:p w:rsidR="009D4A8C" w:rsidRPr="003138FE" w:rsidRDefault="00DA62C5" w:rsidP="0018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19/01/</w:t>
            </w:r>
            <w:r w:rsidR="001821AD" w:rsidRPr="00313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927" w:type="dxa"/>
          </w:tcPr>
          <w:p w:rsidR="009D4A8C" w:rsidRPr="003138FE" w:rsidRDefault="00DA62C5" w:rsidP="001821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Lenda: </w:t>
            </w:r>
            <w:r w:rsidR="001821AD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K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1821AD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rkes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1821AD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p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1821AD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r informacion mbi aktivitetet e realizuara gjate vitit 2022 per zvogelimin e riskut nga fatkeq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1821AD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sit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ë </w:t>
            </w:r>
            <w:r w:rsidR="001821AD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dhe mbrojtjen civile</w:t>
            </w:r>
          </w:p>
          <w:p w:rsidR="001821AD" w:rsidRPr="003138FE" w:rsidRDefault="001821AD" w:rsidP="001821A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Dergues:</w:t>
            </w:r>
            <w:r w:rsidR="00555E10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AKMC</w:t>
            </w:r>
          </w:p>
        </w:tc>
        <w:tc>
          <w:tcPr>
            <w:tcW w:w="3633" w:type="dxa"/>
            <w:gridSpan w:val="2"/>
          </w:tcPr>
          <w:p w:rsidR="001821AD" w:rsidRPr="003138FE" w:rsidRDefault="001821AD" w:rsidP="001821AD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rgjigje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shkres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suaj, me nr.140/1 Prot.dat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19/01/2023,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protokolluar me ton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me Nr.80 Prot,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24.01.2023, me l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”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rkohet info</w:t>
            </w:r>
            <w:r w:rsidR="00555E1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rmacion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aktivitetet e realizuara gjat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vitit 2022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zvog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limin e riskut nga fatkeq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mbrojtjen civile’’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Instituti i Sh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ndetit Publik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lidhje me kuadrin ligjor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fuqi ka realizuar pikat si m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posht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vijon:</w:t>
            </w:r>
          </w:p>
          <w:p w:rsidR="001821AD" w:rsidRPr="003138FE" w:rsidRDefault="001821AD" w:rsidP="001821AD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rsa i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rket pik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2 lidhur me buxhetin e planifikuar ISHP nuk ka kryer shpenzime buxhetore mbi aktivitetet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emergjencat civile gjat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2022.</w:t>
            </w:r>
          </w:p>
          <w:p w:rsidR="001821AD" w:rsidRPr="003138FE" w:rsidRDefault="001821AD" w:rsidP="001821AD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pik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4 jan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hartuar planet e emergjencave 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sipas fush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rgjegj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ja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rgatitur planet si m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posht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</w:t>
            </w:r>
          </w:p>
          <w:p w:rsidR="00C15ADC" w:rsidRPr="003138FE" w:rsidRDefault="00C15ADC" w:rsidP="001821AD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1.Emergjenca e COVID-19 dhe shtamet e reja qarkulluese;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Plani strategjik i veprimit ndaj COVID-19</w:t>
            </w:r>
          </w:p>
          <w:p w:rsidR="00C15ADC" w:rsidRPr="003138FE" w:rsidRDefault="00C15ADC" w:rsidP="00C15A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Emergjenca e COVID-19 dhe shtamet e reja qarkulluese;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Plani Komb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tar i Vaksinimit ndaj COVID-19</w:t>
            </w:r>
          </w:p>
          <w:p w:rsidR="00C15ADC" w:rsidRPr="003138FE" w:rsidRDefault="00C15ADC" w:rsidP="00C15A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3.E mergjenca e gripit sezonal: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Plani i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rgatitjes ndaj gripit sezonal dhe virozave respiratore dhe vaksinimit ndaj gripit sezonal</w:t>
            </w:r>
          </w:p>
          <w:p w:rsidR="00C15ADC" w:rsidRPr="003138FE" w:rsidRDefault="00C15ADC" w:rsidP="00C15A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4.Emergjenca e rezistenc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antimikrobike: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Plani strategjik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rezistenc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antimikrobikedhe survejanc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e saj.</w:t>
            </w:r>
          </w:p>
          <w:p w:rsidR="00C15ADC" w:rsidRPr="003138FE" w:rsidRDefault="00C15ADC" w:rsidP="00C15A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5.Emergjenca nukleare si pasoj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luft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Ukrain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 Draft-Plani i mbrojtjes 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ndetit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popullat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nga rreziqe nuklare</w:t>
            </w:r>
          </w:p>
          <w:p w:rsidR="00C15ADC" w:rsidRPr="003138FE" w:rsidRDefault="00C15ADC" w:rsidP="00C15A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6.Emergjenca nukleare si pasoj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luft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Ukrain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Draft-Plani i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rgjigjes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rreziqet ndaj 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mundjeve infektive dhe vaksinimit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kriz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e refugjat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 nga Ukraina</w:t>
            </w:r>
          </w:p>
          <w:p w:rsidR="00C15ADC" w:rsidRPr="003138FE" w:rsidRDefault="00C15ADC" w:rsidP="00C15A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7.Emergjenca e Lis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Majmunit: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Draft-Plani i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rgjigjes ndaj Lis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Majmunit</w:t>
            </w:r>
          </w:p>
          <w:p w:rsidR="00C15ADC" w:rsidRPr="003138FE" w:rsidRDefault="00C15ADC" w:rsidP="00C15A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 Emergjenca e Lis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Majmunit: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Draft-Plani i vaksinimit ndaj Lis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Majmunit</w:t>
            </w:r>
          </w:p>
        </w:tc>
        <w:tc>
          <w:tcPr>
            <w:tcW w:w="1440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lastRenderedPageBreak/>
              <w:t>Nuk ka</w:t>
            </w:r>
          </w:p>
        </w:tc>
      </w:tr>
      <w:tr w:rsidR="009D4A8C" w:rsidTr="005345A9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2.</w:t>
            </w:r>
          </w:p>
        </w:tc>
        <w:tc>
          <w:tcPr>
            <w:tcW w:w="2610" w:type="dxa"/>
          </w:tcPr>
          <w:p w:rsidR="003A086E" w:rsidRPr="003138FE" w:rsidRDefault="00C15ADC" w:rsidP="003A0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30/01</w:t>
            </w:r>
            <w:r w:rsidR="003A086E" w:rsidRPr="00313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D4A8C" w:rsidRPr="003138FE" w:rsidRDefault="009D4A8C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3A086E" w:rsidRPr="003138FE" w:rsidRDefault="0014661F" w:rsidP="003A08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L</w:t>
            </w:r>
            <w:r w:rsidR="0064505E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nda:K</w:t>
            </w:r>
            <w:r w:rsidR="0064505E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rkohet informacion</w:t>
            </w:r>
          </w:p>
          <w:p w:rsidR="003A086E" w:rsidRPr="003138FE" w:rsidRDefault="0014661F" w:rsidP="003A08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D</w:t>
            </w:r>
            <w:r w:rsidR="0064505E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rgues</w:t>
            </w:r>
            <w:r w:rsidR="005D06B1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: 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AKMC</w:t>
            </w:r>
          </w:p>
          <w:p w:rsidR="009D4A8C" w:rsidRPr="003138FE" w:rsidRDefault="009D4A8C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33" w:type="dxa"/>
            <w:gridSpan w:val="2"/>
          </w:tcPr>
          <w:p w:rsidR="009D4A8C" w:rsidRPr="003138FE" w:rsidRDefault="0014661F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rgjigje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shkres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suaj nr.244/1,dat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30.01.2023,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protokolluar me ton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Nr.Prot 115 dat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01.02,2023 ju b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jm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dije si m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osh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vijon:</w:t>
            </w:r>
          </w:p>
          <w:p w:rsidR="0014661F" w:rsidRPr="003138FE" w:rsidRDefault="0014661F" w:rsidP="0014661F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Institutin e Sh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ndetit Publik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vitin 2022 jan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raportuar 122224 testime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rezultuara pozitiv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COVID-19.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Sipas Ministris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Mbrojtjes Sociale numri i vdekjeve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 vitin 2022 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371 raste.</w:t>
            </w:r>
          </w:p>
        </w:tc>
        <w:tc>
          <w:tcPr>
            <w:tcW w:w="1440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5345A9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lastRenderedPageBreak/>
              <w:t>3.</w:t>
            </w:r>
          </w:p>
        </w:tc>
        <w:tc>
          <w:tcPr>
            <w:tcW w:w="2610" w:type="dxa"/>
          </w:tcPr>
          <w:p w:rsidR="009D4A8C" w:rsidRPr="003138FE" w:rsidRDefault="0014661F" w:rsidP="0014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02.02.2023</w:t>
            </w:r>
          </w:p>
        </w:tc>
        <w:tc>
          <w:tcPr>
            <w:tcW w:w="3927" w:type="dxa"/>
          </w:tcPr>
          <w:p w:rsidR="009D4A8C" w:rsidRPr="003138FE" w:rsidRDefault="0014661F" w:rsidP="0014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L</w:t>
            </w:r>
            <w:r w:rsidR="0064505E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nda: K</w:t>
            </w:r>
            <w:r w:rsidR="0064505E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rkes</w:t>
            </w:r>
            <w:r w:rsidR="0064505E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r informacion</w:t>
            </w:r>
          </w:p>
          <w:p w:rsidR="0014661F" w:rsidRPr="003138FE" w:rsidRDefault="0014661F" w:rsidP="0014661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D</w:t>
            </w:r>
            <w:r w:rsidR="0064505E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rgues:Piranjat</w:t>
            </w:r>
          </w:p>
        </w:tc>
        <w:tc>
          <w:tcPr>
            <w:tcW w:w="3633" w:type="dxa"/>
            <w:gridSpan w:val="2"/>
          </w:tcPr>
          <w:p w:rsidR="009D4A8C" w:rsidRPr="003138FE" w:rsidRDefault="0014661F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shtetur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e b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nga Piranja,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drejtuar institucionit ton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shkres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 numrin ton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protokollit Nr.112,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02/02/2023, me tem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”K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informacion’’, ju b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jm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dije se:</w:t>
            </w:r>
          </w:p>
          <w:p w:rsidR="0014661F" w:rsidRPr="003138FE" w:rsidRDefault="0014661F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rgjigje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pyetjes suaj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par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ISHP nuk kryen matje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rrezatimin jo jonizues por i merr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nat nga matjet e kryera nga Autoriteti i Komunikimeve Elektronike Postare.  Raportet e monitorimeve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nivelit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rrezatimeve gjenden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publikuara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faqen zyrtare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AKEP.</w:t>
            </w:r>
          </w:p>
          <w:p w:rsidR="0014661F" w:rsidRPr="003138FE" w:rsidRDefault="0014661F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vijim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rgjigjes 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pyetjen e dyt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ISHP b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vet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rpunimin dhe analizimin 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nave</w:t>
            </w:r>
            <w:r w:rsidR="005405E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5405E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Duke q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405E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405E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405E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gjitha matjet jan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405E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405E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norm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405E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nuk ka pasur impakt negativ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405E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405E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ndetin publik.</w:t>
            </w:r>
          </w:p>
          <w:p w:rsidR="005405EE" w:rsidRPr="003138FE" w:rsidRDefault="005405EE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rgjigje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pyetjes 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tret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ISHP monitoron d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mtimet nga rrezatimi jonizues dhe jo jonizues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rmjet monitorimit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mundshm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nga survejanca epidemiologjike, deri m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tani nuk kemi asnj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pacient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raportuar si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mtuar nga rrezatimi jonizues dhe jo jonizues.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sa i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rket monitorimit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ekspozimit mbi punonj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sit e ekspozuar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ambientin e pun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 ndaj rrezatimit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jonizues, puna jon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bazohet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VKM Nr.80 dat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11/12/2019 nenin 30.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gjith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punonj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sit e ekspozuar ndaj rrezatimit jonizues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sektorin publik dhe privat duhet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paraqesin rezultatet e analizave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rfshira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‘’List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me ekzaminime q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duhet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punonj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sit e ekspozuar ndaj rrezatimit jonizues” ose rezultatet e analizave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rfshira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“Kontrollin mjek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 baz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”,</w:t>
            </w:r>
            <w:r w:rsidR="006A7EBD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’’Kartel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sh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pun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sit dhe vler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simit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riskut” si dhe ti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nshtrohet vizit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mjek</w:t>
            </w:r>
            <w:r w:rsidR="003B047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sore nga mjeku i ISHP-s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q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llim pajisjen me</w:t>
            </w:r>
            <w:r w:rsidR="003B047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”Raportin e aft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pun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punonj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sit e ekspozuar ndaj rrezatimit jonizues”</w:t>
            </w:r>
          </w:p>
        </w:tc>
        <w:tc>
          <w:tcPr>
            <w:tcW w:w="1440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lastRenderedPageBreak/>
              <w:t>Nuk ka</w:t>
            </w:r>
          </w:p>
        </w:tc>
      </w:tr>
      <w:tr w:rsidR="009D4A8C" w:rsidTr="005345A9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4.</w:t>
            </w:r>
          </w:p>
        </w:tc>
        <w:tc>
          <w:tcPr>
            <w:tcW w:w="2610" w:type="dxa"/>
          </w:tcPr>
          <w:p w:rsidR="003A086E" w:rsidRPr="003138FE" w:rsidRDefault="0064505E" w:rsidP="003A0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5405EE" w:rsidRPr="00313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/02/2023</w:t>
            </w:r>
          </w:p>
          <w:p w:rsidR="009D4A8C" w:rsidRPr="003138FE" w:rsidRDefault="009D4A8C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3A086E" w:rsidRPr="003138FE" w:rsidRDefault="00DA62C5" w:rsidP="003A08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Lenda: </w:t>
            </w:r>
            <w:r w:rsidR="00555E10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="0064505E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Kërkesë për informacion</w:t>
            </w:r>
          </w:p>
          <w:p w:rsidR="003A086E" w:rsidRPr="003138FE" w:rsidRDefault="005D06B1" w:rsidP="003A08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K</w:t>
            </w:r>
            <w:r w:rsidR="00E254EC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rkues: </w:t>
            </w:r>
            <w:r w:rsidR="0064505E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Arbjona Celiku</w:t>
            </w:r>
          </w:p>
          <w:p w:rsidR="009D4A8C" w:rsidRPr="003138FE" w:rsidRDefault="009D4A8C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33" w:type="dxa"/>
            <w:gridSpan w:val="2"/>
          </w:tcPr>
          <w:p w:rsidR="009D4A8C" w:rsidRPr="003138FE" w:rsidRDefault="0064505E" w:rsidP="00DA62C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përgjigje të kërkesës suaj për informacion,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ju informojmë se ISHP ka bashkëpunuar me Agjensinë Kombëtare të Mjedisit për të kryer monitorimin e cilësisë së ajrit në disa qytete të vendit. Agjensia Kombëta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 e Mjedisit disponon rezultate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ku të dhënat i publikon në raportet vjetore mjedisore,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gjithashtu pranë AKM ju gjeni informacionin e nivelit të ndotjes ndër vite në Tiranë.</w:t>
            </w:r>
          </w:p>
        </w:tc>
        <w:tc>
          <w:tcPr>
            <w:tcW w:w="1440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8807BB" w:rsidTr="005345A9">
        <w:tc>
          <w:tcPr>
            <w:tcW w:w="1368" w:type="dxa"/>
          </w:tcPr>
          <w:p w:rsidR="008807BB" w:rsidRDefault="008807BB" w:rsidP="00776413">
            <w:pPr>
              <w:tabs>
                <w:tab w:val="left" w:pos="2790"/>
              </w:tabs>
            </w:pPr>
            <w:r>
              <w:t>5.</w:t>
            </w:r>
          </w:p>
        </w:tc>
        <w:tc>
          <w:tcPr>
            <w:tcW w:w="2610" w:type="dxa"/>
          </w:tcPr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38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27" w:type="dxa"/>
          </w:tcPr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Lënda: Kërkesë për informacion</w:t>
            </w:r>
          </w:p>
          <w:p w:rsidR="008807BB" w:rsidRPr="003138FE" w:rsidRDefault="008807BB" w:rsidP="007847BB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Kërkues: Znj.Esmeralda Keta</w:t>
            </w:r>
          </w:p>
          <w:p w:rsidR="008807BB" w:rsidRPr="003138FE" w:rsidRDefault="008807BB" w:rsidP="007847BB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Top Channel</w:t>
            </w:r>
          </w:p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</w:tcPr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Bazuar në këkrkesën tuaj Nr.396,</w:t>
            </w:r>
            <w:r w:rsidR="00AE7762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datë 11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05.2023, për informacion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mbi shëndetin mendor,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ju vëmë në dijeni si më poshtë vijon:</w:t>
            </w:r>
          </w:p>
          <w:p w:rsidR="00C34B13" w:rsidRPr="003138FE" w:rsidRDefault="00C34B13" w:rsidP="00DB21C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mbarë botën,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rreth gjysma e të gjitha crregullimeve të shëndetit mendor fillojnë në moshën 14 vjec por shumica e rasteve nuk njihen dhe nuk trajtohen vecanërisht në vendet me të ardhura të ulta dhe të mesme si Shqipëria,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 pasoja afatgjata jo vetëm në shëndetin mendor të adoleshentëve, por edhe për familjet e tyre dhe ekonomitë kombëtare. Crregullimet mendore të diagnostikuara tek të rinjtë përfshijnë  mungesë e vëmë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ndjes/hiperaktiviteti(ADHD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ankthin,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depresionin,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crregullimin e sjelljes,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crregullimet e të ngrënit,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crregullimin bipolar,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paaftësinë intelektuale,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autizmin dhe skizofreninë.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vendin tonë,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trendi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prevalencës së sëmundjeve mendore të bazuara në kujdesin shëndetësor parësor reflekton rritjen e ndërgjegjësimit të shoqërisë për shëndetin mendor.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kuadrin e reformës kombëtare të shëndetit mendor,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shërbimet për shëndetin mendor kanë synuar kujdesin komunitar dhe familjar, si dhe zgjerimin e kategorive të profesionistëve   të përfshirë në shërbime më shumë disiplinore.</w:t>
            </w:r>
          </w:p>
          <w:p w:rsidR="00C34B13" w:rsidRPr="003138FE" w:rsidRDefault="00C34B13" w:rsidP="00DB21C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Ministria e Shëndetësisë dhe Mbrojtjes Sociale (MSHMS),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kujdesin parësor ka përfshirë qëndra socio-shëndetësore.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Janë hapur 50 qëndra shëndetësore të cilat tashmë ofrojnë dhe kujdes të integruar psiko-social,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 ashtu dhe këtë vit (2023)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 zgjerohen duke integruar dhe 50 qëndra të tjera në kujdesin parësor me punonjës socilë dhe psikologë,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duke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kthyer kështu për herë të parë strukturat e kujdesit shëndetësor dhe në mbështetje për kujdesin psiko-social për ato kategori që kanë më shumë nevojë me problematikat e shëndetit mendor.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Monitorimin e shëndetit mendor në vendin tonë Instituti I Shëndetit Publik e kryen përmes analizës së përdorimit të shërbimeve shëndetësore dhe studimeve në popullatë.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Janë kryer disa studime në popullatë në periudha të ndryshme,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prej të cilëve Health Behavious in School Children Survey dhe tashmë sistematik dhe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fokusuar vetëm te fëmijët.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Ndërsa Albanian Demograpich and Health Survey është një studim që përfshin popullatën 15-59 vjec.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>Lista e të gjithë anketimeve të kryera në Shqipëri që përfshijnë cështje të shëndetit mendor</w:t>
            </w:r>
            <w:r w:rsidR="00B0184A"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: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-Albanian Demographic and he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th survey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-Strengths and difficulties at adolescents in Tirana(2014)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-Youth Risky Behavior Survey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(2005&amp;2010)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-Health Behavious in School age Children Survey  2013/2014&amp;2017/18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-Th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International Mobility in Aging Study in Tirana,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2014&amp;2016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Ka dokumente dhe plane strategjike  të zhvilluara nga Ministria e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hëndetësisë dhe Mbrojtjes Sociale që trajtojnë cështjet e shëndetit mendor.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Më të rëndësishmet janë si më poshtë:</w:t>
            </w:r>
          </w:p>
          <w:p w:rsidR="00DB21C0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Strategjia  Kombëtare për Zhvillim dhe Integrim 2021-2030.</w:t>
            </w:r>
            <w:r w:rsidR="00DB21C0"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Një nga objektivat strategjikë të Strategjisë Kombëtare për Zhvillim dhe Integrim për sektorin e Shëndetësisë është 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“Investimi në shëndetin e popullatës gjatë gjithë ciklit jetësor.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Shëndeti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popullatës do të jetë në qëndër të vëmendjes duke forcuar dhe zgjeruar programet e reja të vaksinimit,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duke reduktuar sjelljet e rrezikshme që prekin sëmundjet jo të transmetueshme, duke përmirësuar shëndetin e nënës dhe fëmijës,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adoleshentëve dhe shëndetin riprodhues</w:t>
            </w:r>
          </w:p>
          <w:p w:rsidR="00DB21C0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-Strategjia Kombëtare Shqiptare e Shëndetësisë 2021-2030.</w:t>
            </w:r>
            <w:r w:rsidR="00DB21C0"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Është dokumenti strategjik më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rëndësishëm 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MSHMS-së dhe një platformë gjithëpërfshirëse që koordinon të gjitha përpjekjet për përmirësimin e shëndetit dhe mirëqënies së të gjithë njerëzve në Shqipëri. Strategjia thekson se përfshirja dhe integrimi 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shërbimeve të shëndetit mendor brenda brenda kujdesit shëndetësor parësor duhet të zbatohet duke përfshirë ndërlidhjen me ofruesit ekzistues të shërbimeve si Organizata Jo Qeveritare me qëllim forcimin e përgjigjeve locale dhe kombëtare ndaj cështjeve të shëndetit mendor.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Investimet në shërbimet e shë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ndetit mendor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vecanërisht për të rinjtë dhe rritja e kapaciteteve lo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ale për të manaxhuar cështjet e shëndetit mendor nëpërmjet kujdesit shëndetësor parësor duhet të jenë prioritet.</w:t>
            </w:r>
          </w:p>
          <w:p w:rsidR="00DB21C0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 xml:space="preserve">-Strategjia Kombëtare e Rinisë 2022-2029. 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Për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të fuqizuar të rinjtë për të ndërtuar të ardhmen e tyre të sigurt në Shqipëri qeveria shqiptare ka vendosur të mbështesë zhvillimin e një strategjie kombëtare për të rinjte.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Një nga synimet e politikës së kësaj strategjie është ‘Mirëqënia a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tive, e shëndetëshme,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fizike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sociale dhe mendore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ë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rinjve.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Siguria,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mbrojtja dhe përfshirja e të rinjve në të gjithë diversitetin e tyre, vecanërisht për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ata të rinj që janë në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nj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situatë të rrezik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shme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ose përjashtim social.</w:t>
            </w:r>
          </w:p>
          <w:p w:rsidR="00DB21C0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Plani </w:t>
            </w:r>
            <w:r w:rsidR="00DB21C0"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i </w:t>
            </w: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Veprimit Për Zhvillimin e Shërbimeve të Shëndetit Mendor në Shqipëri 2013-2022.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Vëmendje e vecantë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kushtohet fuqizimit të shërbimeve për fëmijë dhe adoleshentë.</w:t>
            </w:r>
          </w:p>
          <w:p w:rsidR="00DB21C0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Drafti </w:t>
            </w:r>
            <w:r w:rsidR="00B0184A"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ri </w:t>
            </w:r>
            <w:r w:rsidR="00DB21C0"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Planit Kombëtar të Veprimit  për Shëndetin Mendor 2022-2026. 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Një kapitull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vecantë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kushtohet cështjeve të shëndetit mendor të të rinjve.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Paketa e trajnimit të bazuar në shkollë për profesionistët e shëndetësisë në shkollë 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është një mjet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Organizatës Botërore të Shëndetësisë që ofron informacion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dhe aftësi për adresimin e cështjeve kyce që lidhen me shëndetin e fëmijëve dhe adoleshentëve. Një nga cështjet që diskutohet gjerësisht në paketë është shëndeti mendor dhe mirëqënia e fëmijëve të moshës shkollore. Për më tepër , paketa e trajnimit përshkruan shkollat si mjedise të përshtatshme për promovimin e shëndetit mendor pozitiv. Këtë vit paketa e trajtimit është rishikuar dhe përditësuar nga Instituti I Shëndetit Publik dhe po përdoret në trajnime me personelin shëndetësor të shkollave në Tiranë.</w:t>
            </w:r>
          </w:p>
          <w:p w:rsidR="008807BB" w:rsidRPr="003138FE" w:rsidRDefault="008807BB" w:rsidP="001D38B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8807BB" w:rsidRPr="00B0184A" w:rsidRDefault="00B0184A" w:rsidP="00776413">
            <w:pPr>
              <w:tabs>
                <w:tab w:val="left" w:pos="2790"/>
              </w:tabs>
              <w:rPr>
                <w:lang w:val="sq-AL"/>
              </w:rPr>
            </w:pPr>
            <w:r w:rsidRPr="00B0184A">
              <w:rPr>
                <w:lang w:val="sq-AL"/>
              </w:rPr>
              <w:lastRenderedPageBreak/>
              <w:t>Nuk ka</w:t>
            </w:r>
          </w:p>
        </w:tc>
      </w:tr>
      <w:tr w:rsidR="008807BB" w:rsidTr="005345A9">
        <w:tc>
          <w:tcPr>
            <w:tcW w:w="1368" w:type="dxa"/>
          </w:tcPr>
          <w:p w:rsidR="008807BB" w:rsidRDefault="008807BB" w:rsidP="00776413">
            <w:pPr>
              <w:tabs>
                <w:tab w:val="left" w:pos="2790"/>
              </w:tabs>
            </w:pPr>
          </w:p>
        </w:tc>
        <w:tc>
          <w:tcPr>
            <w:tcW w:w="2610" w:type="dxa"/>
          </w:tcPr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33" w:type="dxa"/>
            <w:gridSpan w:val="2"/>
          </w:tcPr>
          <w:p w:rsidR="008807BB" w:rsidRPr="003138FE" w:rsidRDefault="008807BB" w:rsidP="001D38B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8807BB" w:rsidRPr="003138FE" w:rsidRDefault="008807BB" w:rsidP="001D38B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gridSpan w:val="3"/>
          </w:tcPr>
          <w:p w:rsidR="008807BB" w:rsidRDefault="008807BB" w:rsidP="00776413">
            <w:pPr>
              <w:tabs>
                <w:tab w:val="left" w:pos="2790"/>
              </w:tabs>
            </w:pPr>
          </w:p>
        </w:tc>
      </w:tr>
      <w:tr w:rsidR="008807BB" w:rsidTr="005345A9">
        <w:tc>
          <w:tcPr>
            <w:tcW w:w="1368" w:type="dxa"/>
          </w:tcPr>
          <w:p w:rsidR="008807BB" w:rsidRDefault="00B0184A" w:rsidP="00776413">
            <w:pPr>
              <w:tabs>
                <w:tab w:val="left" w:pos="2790"/>
              </w:tabs>
            </w:pPr>
            <w:r w:rsidRPr="00B0184A">
              <w:rPr>
                <w:b/>
              </w:rPr>
              <w:t>6</w:t>
            </w:r>
            <w:r>
              <w:t>.</w:t>
            </w:r>
          </w:p>
        </w:tc>
        <w:tc>
          <w:tcPr>
            <w:tcW w:w="2610" w:type="dxa"/>
          </w:tcPr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3927" w:type="dxa"/>
          </w:tcPr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nda:K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rkes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informcion</w:t>
            </w:r>
          </w:p>
          <w:p w:rsidR="008807BB" w:rsidRPr="003138FE" w:rsidRDefault="008807BB" w:rsidP="00DB21C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rkues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: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Emisioni STOP</w:t>
            </w:r>
          </w:p>
        </w:tc>
        <w:tc>
          <w:tcPr>
            <w:tcW w:w="3633" w:type="dxa"/>
            <w:gridSpan w:val="2"/>
          </w:tcPr>
          <w:p w:rsidR="008807BB" w:rsidRPr="003138FE" w:rsidRDefault="008807BB" w:rsidP="006A7EBD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rgjigje 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rkes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tuaj dat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21.06.2023 drejtuar Institutit 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ndetit Publik protokolluar me ton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nr.prot 634 dat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21.06.2023 ju b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jm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dije si m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posht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vijon;</w:t>
            </w:r>
          </w:p>
          <w:p w:rsidR="003138FE" w:rsidRDefault="002E0E98" w:rsidP="002E0E98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lidhje me 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rzgjedhjen e specialist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ve, 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grupet e pun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ISHP-ja ka ndjekur zbatimin e VKM-s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nr.285 dat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19.05.2021 ”P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 rregullat e prokurimit publik’ Neni 76 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ndryshuar dhe 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mb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shtetje 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Ligjit Nr.162/2020 ‘’P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prokurimet publike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”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 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grupet e pun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jan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rfshir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specialist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fush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duke zbatuar rregullat e legjislacionit 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rm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</w:t>
            </w:r>
          </w:p>
          <w:p w:rsidR="002E0E98" w:rsidRPr="003138FE" w:rsidRDefault="002E0E98" w:rsidP="002E0E98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Instituti I Sh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ndetit Publik ka 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rcaktuar nj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specialist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fushe 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q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pjes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KVO-s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 Autoriteti q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organizon procedur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 e prokurimit 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ASHPP, e cila 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baz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nenit 75 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VKM-s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nr.285 dat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19.05.2021 “P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rregullat e prokurimit publi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k”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ndryshuar , 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rcakton </w:t>
            </w:r>
            <w:r w:rsidR="008125F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125F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tar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125F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  e KVO-s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125F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:rsidR="008125FA" w:rsidRPr="003138FE" w:rsidRDefault="008125FA" w:rsidP="00DB21C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 sa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rket 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rzgjedhjes s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specialist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 sipas specializimeve, specilist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 jan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rzgjedhur sipas zbatimit 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legjislacionit 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fuqi dhe natyr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s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objektit 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prokurimit sipas baz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ligjore.</w:t>
            </w:r>
          </w:p>
        </w:tc>
        <w:tc>
          <w:tcPr>
            <w:tcW w:w="1440" w:type="dxa"/>
            <w:gridSpan w:val="3"/>
          </w:tcPr>
          <w:p w:rsidR="008807BB" w:rsidRDefault="00C34B13" w:rsidP="00776413">
            <w:pPr>
              <w:tabs>
                <w:tab w:val="left" w:pos="2790"/>
              </w:tabs>
            </w:pPr>
            <w:proofErr w:type="spellStart"/>
            <w:r>
              <w:lastRenderedPageBreak/>
              <w:t>Nuk</w:t>
            </w:r>
            <w:proofErr w:type="spellEnd"/>
            <w:r>
              <w:t xml:space="preserve"> ka</w:t>
            </w:r>
          </w:p>
        </w:tc>
      </w:tr>
      <w:tr w:rsidR="008807BB" w:rsidRPr="00C34B13" w:rsidTr="005345A9">
        <w:tc>
          <w:tcPr>
            <w:tcW w:w="1368" w:type="dxa"/>
          </w:tcPr>
          <w:p w:rsidR="008807BB" w:rsidRPr="00B0184A" w:rsidRDefault="00B0184A" w:rsidP="00776413">
            <w:pPr>
              <w:tabs>
                <w:tab w:val="left" w:pos="2790"/>
              </w:tabs>
              <w:rPr>
                <w:b/>
                <w:lang w:val="sq-AL"/>
              </w:rPr>
            </w:pPr>
            <w:r>
              <w:rPr>
                <w:b/>
                <w:lang w:val="sq-AL"/>
              </w:rPr>
              <w:t>7</w:t>
            </w:r>
            <w:r w:rsidR="00C34B13" w:rsidRPr="00B0184A">
              <w:rPr>
                <w:b/>
                <w:lang w:val="sq-AL"/>
              </w:rPr>
              <w:t>.</w:t>
            </w:r>
          </w:p>
        </w:tc>
        <w:tc>
          <w:tcPr>
            <w:tcW w:w="2610" w:type="dxa"/>
          </w:tcPr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927" w:type="dxa"/>
          </w:tcPr>
          <w:p w:rsidR="008807BB" w:rsidRPr="003138FE" w:rsidRDefault="00C34B13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Lënda: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Mbi ankimin ndaj refuzimit për dhënie të informacionit dhe kopje të dokumentave zyrtare.</w:t>
            </w:r>
          </w:p>
          <w:p w:rsidR="00C34B13" w:rsidRPr="003138FE" w:rsidRDefault="00C34B13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Dërgues:</w:t>
            </w:r>
            <w:r w:rsidR="00AE7762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Zyra e Komisionerit</w:t>
            </w:r>
          </w:p>
        </w:tc>
        <w:tc>
          <w:tcPr>
            <w:tcW w:w="3633" w:type="dxa"/>
            <w:gridSpan w:val="2"/>
          </w:tcPr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përgjigje të kërkesës tuaj per informacion datë 26.06.2023, protokolluar me tonën Nr.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Prot.655 mbi ankimim ndaj refuzimit për dhënie të informacionit dhe kopje të dokumentave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zyrtare ju bëjmë më dije si më poshtë vijon: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Nga ana e koordinatores për të drejtën e informimit nuk ka një mungesë të kthimit të përgjigjes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pasi kërkesa për informacion nga ana e Znj.Topi ka ardhur në Spam dhe e-maili për arsye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sigurie nuk mund të hapej. Bashkangjitur gjeni fotot të e-mailit ardhur në spam.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Përsa i përket kërkesës për informacion nga ana e Znj.Topi ju bëjmë me dije se procesi i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dezinsektimit është në procedurë prokurimi pranë ASHPP. Me përfundimin e procedurës së</w:t>
            </w:r>
          </w:p>
          <w:p w:rsidR="008807BB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prokurimit do të nis dhe procesi i dezinsektimit!</w:t>
            </w:r>
          </w:p>
        </w:tc>
        <w:tc>
          <w:tcPr>
            <w:tcW w:w="1440" w:type="dxa"/>
            <w:gridSpan w:val="3"/>
          </w:tcPr>
          <w:p w:rsidR="008807BB" w:rsidRPr="00C34B13" w:rsidRDefault="00C34B13" w:rsidP="007764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lastRenderedPageBreak/>
              <w:t>Nuk ka</w:t>
            </w:r>
          </w:p>
        </w:tc>
      </w:tr>
      <w:tr w:rsidR="004823A8" w:rsidTr="005345A9">
        <w:tc>
          <w:tcPr>
            <w:tcW w:w="1368" w:type="dxa"/>
          </w:tcPr>
          <w:p w:rsidR="004823A8" w:rsidRDefault="004823A8" w:rsidP="00776413">
            <w:pPr>
              <w:tabs>
                <w:tab w:val="left" w:pos="2790"/>
              </w:tabs>
              <w:rPr>
                <w:lang w:val="sq-AL"/>
              </w:rPr>
            </w:pPr>
            <w:r w:rsidRPr="003138FE">
              <w:rPr>
                <w:b/>
                <w:lang w:val="sq-AL"/>
              </w:rPr>
              <w:t>8</w:t>
            </w:r>
            <w:r>
              <w:rPr>
                <w:lang w:val="sq-AL"/>
              </w:rPr>
              <w:t>.</w:t>
            </w:r>
          </w:p>
        </w:tc>
        <w:tc>
          <w:tcPr>
            <w:tcW w:w="2610" w:type="dxa"/>
          </w:tcPr>
          <w:p w:rsidR="004823A8" w:rsidRPr="003138FE" w:rsidRDefault="004823A8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21.07.2023</w:t>
            </w:r>
          </w:p>
        </w:tc>
        <w:tc>
          <w:tcPr>
            <w:tcW w:w="3927" w:type="dxa"/>
          </w:tcPr>
          <w:p w:rsidR="004823A8" w:rsidRPr="003138FE" w:rsidRDefault="004823A8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nda:</w:t>
            </w:r>
            <w:r w:rsidR="00010DE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rkes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informacion</w:t>
            </w:r>
          </w:p>
          <w:p w:rsidR="004823A8" w:rsidRPr="003138FE" w:rsidRDefault="004823A8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rkues:</w:t>
            </w:r>
            <w:r w:rsidR="00010DE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Ora Tv </w:t>
            </w:r>
          </w:p>
        </w:tc>
        <w:tc>
          <w:tcPr>
            <w:tcW w:w="3633" w:type="dxa"/>
            <w:gridSpan w:val="2"/>
          </w:tcPr>
          <w:p w:rsidR="004823A8" w:rsidRPr="003138FE" w:rsidRDefault="004823A8" w:rsidP="004823A8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shtetur n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rkes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e b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nga ana juaj drejtuar institucionit ton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shkres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me numrin e protokollit Nr.62, dat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19/07.2023, me numrin ton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protokollit Nr.758, dat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21/07/2023 me tem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“K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rkes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informacion’’</w:t>
            </w:r>
            <w:r w:rsidR="00010DE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ju b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010DE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jm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010DE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dije se:</w:t>
            </w:r>
          </w:p>
          <w:p w:rsidR="00010DE3" w:rsidRPr="003138FE" w:rsidRDefault="00010DE3" w:rsidP="00010DE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baz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Ligjit Nr.16/2020” P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disa ndryshime dhe shtesa n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ligjin nr.9863,</w:t>
            </w:r>
            <w:r w:rsid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28.1.2008, “PER USHQIMIN”, 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ndryshuar’’ dhe VKM nr.434, dat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11.07.2018 “P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etiketimin e ushqimeve dhe informimin e konsumatorit”, kontrolli n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operator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 e biznesit ushqimore nuk 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detyr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funksionale e k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tij institucioni ndaj dhe ky informacion nuk mund 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ofrohet nga Instituti i Sh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ndetit Publik.</w:t>
            </w:r>
          </w:p>
        </w:tc>
        <w:tc>
          <w:tcPr>
            <w:tcW w:w="1440" w:type="dxa"/>
            <w:gridSpan w:val="3"/>
          </w:tcPr>
          <w:p w:rsidR="004823A8" w:rsidRDefault="003138FE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lastRenderedPageBreak/>
              <w:t>Nuk ka</w:t>
            </w:r>
          </w:p>
        </w:tc>
      </w:tr>
      <w:tr w:rsidR="004823A8" w:rsidTr="005345A9">
        <w:tc>
          <w:tcPr>
            <w:tcW w:w="1368" w:type="dxa"/>
          </w:tcPr>
          <w:p w:rsidR="004823A8" w:rsidRPr="003138FE" w:rsidRDefault="00010DE3" w:rsidP="00776413">
            <w:pPr>
              <w:tabs>
                <w:tab w:val="left" w:pos="2790"/>
              </w:tabs>
              <w:rPr>
                <w:lang w:val="sq-AL"/>
              </w:rPr>
            </w:pPr>
            <w:r w:rsidRPr="003138FE">
              <w:rPr>
                <w:lang w:val="sq-AL"/>
              </w:rPr>
              <w:t>9.</w:t>
            </w:r>
          </w:p>
        </w:tc>
        <w:tc>
          <w:tcPr>
            <w:tcW w:w="2610" w:type="dxa"/>
          </w:tcPr>
          <w:p w:rsidR="004823A8" w:rsidRPr="003138FE" w:rsidRDefault="00010DE3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18.09.2023</w:t>
            </w:r>
          </w:p>
        </w:tc>
        <w:tc>
          <w:tcPr>
            <w:tcW w:w="3927" w:type="dxa"/>
          </w:tcPr>
          <w:p w:rsidR="004823A8" w:rsidRPr="003138FE" w:rsidRDefault="00010DE3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nda: K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rkes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informacion</w:t>
            </w:r>
          </w:p>
          <w:p w:rsidR="00010DE3" w:rsidRPr="003138FE" w:rsidRDefault="00010DE3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rkues: Esmeralda Keta</w:t>
            </w:r>
          </w:p>
        </w:tc>
        <w:tc>
          <w:tcPr>
            <w:tcW w:w="3633" w:type="dxa"/>
            <w:gridSpan w:val="2"/>
            <w:tcBorders>
              <w:bottom w:val="single" w:sz="4" w:space="0" w:color="auto"/>
            </w:tcBorders>
          </w:tcPr>
          <w:p w:rsidR="004823A8" w:rsidRPr="003138FE" w:rsidRDefault="00010DE3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Znj.Esmeralda Keta i 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kthyer p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rgjigje me an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e-mailit dhe i jan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dispozicion 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gjitha materialet e k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rkuara.</w:t>
            </w:r>
          </w:p>
        </w:tc>
        <w:tc>
          <w:tcPr>
            <w:tcW w:w="1440" w:type="dxa"/>
            <w:gridSpan w:val="3"/>
          </w:tcPr>
          <w:p w:rsidR="004823A8" w:rsidRDefault="003138FE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Nuk ka</w:t>
            </w:r>
          </w:p>
        </w:tc>
      </w:tr>
      <w:tr w:rsidR="004823A8" w:rsidTr="005345A9">
        <w:trPr>
          <w:trHeight w:val="1250"/>
        </w:trPr>
        <w:tc>
          <w:tcPr>
            <w:tcW w:w="1368" w:type="dxa"/>
          </w:tcPr>
          <w:p w:rsidR="004823A8" w:rsidRPr="003138FE" w:rsidRDefault="00010DE3" w:rsidP="00776413">
            <w:pPr>
              <w:tabs>
                <w:tab w:val="left" w:pos="2790"/>
              </w:tabs>
              <w:rPr>
                <w:b/>
                <w:lang w:val="sq-AL"/>
              </w:rPr>
            </w:pPr>
            <w:r w:rsidRPr="003138FE">
              <w:rPr>
                <w:b/>
                <w:lang w:val="sq-AL"/>
              </w:rPr>
              <w:t>10.</w:t>
            </w:r>
          </w:p>
        </w:tc>
        <w:tc>
          <w:tcPr>
            <w:tcW w:w="2610" w:type="dxa"/>
          </w:tcPr>
          <w:p w:rsidR="004823A8" w:rsidRPr="003138FE" w:rsidRDefault="00231BB5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</w:t>
            </w:r>
            <w:r w:rsidR="00010DE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.09.2023</w:t>
            </w:r>
          </w:p>
        </w:tc>
        <w:tc>
          <w:tcPr>
            <w:tcW w:w="3927" w:type="dxa"/>
          </w:tcPr>
          <w:p w:rsidR="004823A8" w:rsidRPr="003138FE" w:rsidRDefault="00010DE3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nda: K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rkes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informacion</w:t>
            </w:r>
          </w:p>
          <w:p w:rsidR="00010DE3" w:rsidRPr="003138FE" w:rsidRDefault="00010DE3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rkues: BIRN</w:t>
            </w:r>
          </w:p>
        </w:tc>
        <w:tc>
          <w:tcPr>
            <w:tcW w:w="3633" w:type="dxa"/>
            <w:gridSpan w:val="2"/>
          </w:tcPr>
          <w:p w:rsidR="004823A8" w:rsidRPr="003138FE" w:rsidRDefault="00231BB5" w:rsidP="00231BB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përgjigje të kërkesës tuaj për informacion bashkëlidhur do të gjeni dokumentacionin të vënë në dispozicion nga Departamenti i Epidemiologjisë dhe Kontrollit të Sëmundjeve Infektive/Sektori i Kontrollit të Infeksioneve Spitalore të renditur si më poshtë</w:t>
            </w:r>
            <w:r w:rsid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</w:t>
            </w:r>
          </w:p>
          <w:p w:rsidR="00231BB5" w:rsidRPr="003138FE" w:rsidRDefault="00231BB5" w:rsidP="00231BB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Protokoll mbi Principet e Infeksioneve Spitalore dhe Sterilitetit të Sallave Operatore (Nëntor 2007)</w:t>
            </w:r>
          </w:p>
          <w:p w:rsidR="00231BB5" w:rsidRPr="003138FE" w:rsidRDefault="00231BB5" w:rsidP="00231BB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2. Protokoll për 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ontrollin dhe 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arandalimin e 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nfeksioneve spitalore</w:t>
            </w:r>
            <w:r w:rsid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ars 2012)</w:t>
            </w:r>
          </w:p>
          <w:p w:rsidR="00231BB5" w:rsidRPr="003138FE" w:rsidRDefault="00231BB5" w:rsidP="00231BB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3. 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ktiviteti i ekzaminimeve mbi ndotjen mikrobiale në mjediset e kujdesit shëndetësor për periudhën (2012-2014)</w:t>
            </w:r>
          </w:p>
          <w:p w:rsidR="00231BB5" w:rsidRPr="003138FE" w:rsidRDefault="00231BB5" w:rsidP="00231BB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4. 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ktiviteti ekzaminimeve mbi ndotjen mikrobiale në mjediset e kujdesit shëndetësor për periudhën</w:t>
            </w:r>
          </w:p>
          <w:p w:rsidR="00231BB5" w:rsidRPr="003138FE" w:rsidRDefault="00231BB5" w:rsidP="00231BB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(2016-2017)</w:t>
            </w:r>
          </w:p>
          <w:p w:rsidR="00231BB5" w:rsidRPr="003138FE" w:rsidRDefault="00231BB5" w:rsidP="00231BB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5. 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ktiviteti ekzaminimeve mbi ndotjen mikrobiale në mjediset e kujdesit shëndetësor për periudhën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(2018)</w:t>
            </w:r>
          </w:p>
          <w:p w:rsidR="00231BB5" w:rsidRPr="003138FE" w:rsidRDefault="00231BB5" w:rsidP="00231BB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6. 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ktiviteti ekzaminimeve mbi ndotjen mikrobiale në mjediset e kujdesit shëndetësor për periudhën</w:t>
            </w:r>
            <w:r w:rsid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(2022-2023)</w:t>
            </w:r>
          </w:p>
          <w:p w:rsidR="00231BB5" w:rsidRPr="003138FE" w:rsidRDefault="00231BB5" w:rsidP="00231BB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7. ”Infeksionet 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pitalore 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fida për tu fituar”</w:t>
            </w:r>
          </w:p>
          <w:p w:rsidR="00231BB5" w:rsidRPr="003138FE" w:rsidRDefault="00231BB5" w:rsidP="00231BB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rtikuj të ndryshëm ndër vite</w:t>
            </w:r>
          </w:p>
          <w:p w:rsidR="00231BB5" w:rsidRPr="003138FE" w:rsidRDefault="00231BB5" w:rsidP="003138FE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rezantimet e vlerësimit të infeksioneve spitalore</w:t>
            </w:r>
            <w:r w:rsid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orrik 2023)</w:t>
            </w:r>
          </w:p>
        </w:tc>
        <w:tc>
          <w:tcPr>
            <w:tcW w:w="1440" w:type="dxa"/>
            <w:gridSpan w:val="3"/>
          </w:tcPr>
          <w:p w:rsidR="004823A8" w:rsidRDefault="003138FE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lastRenderedPageBreak/>
              <w:t>Nuk ka</w:t>
            </w:r>
          </w:p>
        </w:tc>
      </w:tr>
      <w:tr w:rsidR="005345A9" w:rsidTr="005345A9">
        <w:tc>
          <w:tcPr>
            <w:tcW w:w="1368" w:type="dxa"/>
          </w:tcPr>
          <w:p w:rsidR="005345A9" w:rsidRPr="003138FE" w:rsidRDefault="005345A9" w:rsidP="00CF0A71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11.</w:t>
            </w:r>
          </w:p>
        </w:tc>
        <w:tc>
          <w:tcPr>
            <w:tcW w:w="2610" w:type="dxa"/>
          </w:tcPr>
          <w:p w:rsidR="005345A9" w:rsidRPr="003138FE" w:rsidRDefault="005345A9" w:rsidP="00CF0A71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Gjate muajve Tetor,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Nentor dhe Dhjetor nuk ka pasur kerkesa per informacion</w:t>
            </w:r>
          </w:p>
        </w:tc>
        <w:tc>
          <w:tcPr>
            <w:tcW w:w="3927" w:type="dxa"/>
          </w:tcPr>
          <w:p w:rsidR="005345A9" w:rsidRPr="003138FE" w:rsidRDefault="005345A9" w:rsidP="00CF0A71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33" w:type="dxa"/>
            <w:gridSpan w:val="2"/>
            <w:tcBorders>
              <w:bottom w:val="single" w:sz="4" w:space="0" w:color="auto"/>
            </w:tcBorders>
          </w:tcPr>
          <w:p w:rsidR="005345A9" w:rsidRPr="003138FE" w:rsidRDefault="005345A9" w:rsidP="00CF0A71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gridSpan w:val="3"/>
          </w:tcPr>
          <w:p w:rsidR="005345A9" w:rsidRDefault="005345A9" w:rsidP="00CF0A71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Nuk ka</w:t>
            </w:r>
          </w:p>
        </w:tc>
      </w:tr>
    </w:tbl>
    <w:p w:rsidR="00794D32" w:rsidRPr="00C34B13" w:rsidRDefault="00794D32" w:rsidP="00776413">
      <w:pPr>
        <w:tabs>
          <w:tab w:val="left" w:pos="2790"/>
        </w:tabs>
        <w:rPr>
          <w:lang w:val="sq-AL"/>
        </w:rPr>
      </w:pPr>
    </w:p>
    <w:p w:rsidR="00124BDB" w:rsidRPr="003138FE" w:rsidRDefault="00124BDB" w:rsidP="00776413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sectPr w:rsidR="00124BDB" w:rsidRPr="003138FE" w:rsidSect="0077641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052" w:rsidRDefault="00CF2052" w:rsidP="00776413">
      <w:pPr>
        <w:spacing w:after="0" w:line="240" w:lineRule="auto"/>
      </w:pPr>
      <w:r>
        <w:separator/>
      </w:r>
    </w:p>
  </w:endnote>
  <w:endnote w:type="continuationSeparator" w:id="0">
    <w:p w:rsidR="00CF2052" w:rsidRDefault="00CF2052" w:rsidP="0077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052" w:rsidRDefault="00CF2052" w:rsidP="00776413">
      <w:pPr>
        <w:spacing w:after="0" w:line="240" w:lineRule="auto"/>
      </w:pPr>
      <w:r>
        <w:separator/>
      </w:r>
    </w:p>
  </w:footnote>
  <w:footnote w:type="continuationSeparator" w:id="0">
    <w:p w:rsidR="00CF2052" w:rsidRDefault="00CF2052" w:rsidP="0077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DBE" w:rsidRPr="00A17BB1" w:rsidRDefault="00305DBE">
    <w:pPr>
      <w:pStyle w:val="Header"/>
      <w:rPr>
        <w:rFonts w:ascii="Times New Roman" w:hAnsi="Times New Roman" w:cs="Times New Roman"/>
        <w:b/>
        <w:sz w:val="28"/>
        <w:szCs w:val="28"/>
        <w:lang w:val="it-IT"/>
      </w:rPr>
    </w:pPr>
    <w:r w:rsidRPr="00A17BB1">
      <w:rPr>
        <w:rFonts w:ascii="Times New Roman" w:hAnsi="Times New Roman" w:cs="Times New Roman"/>
        <w:b/>
        <w:sz w:val="28"/>
        <w:szCs w:val="28"/>
        <w:lang w:val="it-IT"/>
      </w:rPr>
      <w:t xml:space="preserve">                                                               REGJIST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Ё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>R I K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Ë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>RKESAVE DHE P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Ё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>RGJIGJEVE P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Ё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 xml:space="preserve">R </w:t>
    </w:r>
    <w:r w:rsidR="00C06B5D" w:rsidRPr="00A17BB1">
      <w:rPr>
        <w:rFonts w:ascii="Times New Roman" w:hAnsi="Times New Roman" w:cs="Times New Roman"/>
        <w:b/>
        <w:sz w:val="28"/>
        <w:szCs w:val="28"/>
        <w:lang w:val="it-IT"/>
      </w:rPr>
      <w:t>202</w:t>
    </w:r>
    <w:r w:rsidR="003B0478">
      <w:rPr>
        <w:rFonts w:ascii="Times New Roman" w:hAnsi="Times New Roman" w:cs="Times New Roman"/>
        <w:b/>
        <w:sz w:val="28"/>
        <w:szCs w:val="28"/>
        <w:lang w:val="it-IT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6745"/>
    <w:multiLevelType w:val="hybridMultilevel"/>
    <w:tmpl w:val="9264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6619"/>
    <w:multiLevelType w:val="hybridMultilevel"/>
    <w:tmpl w:val="5754B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20AAE"/>
    <w:multiLevelType w:val="hybridMultilevel"/>
    <w:tmpl w:val="D4487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1176D"/>
    <w:multiLevelType w:val="hybridMultilevel"/>
    <w:tmpl w:val="E6A04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13"/>
    <w:rsid w:val="000101B0"/>
    <w:rsid w:val="00010DE3"/>
    <w:rsid w:val="00020F23"/>
    <w:rsid w:val="000256CA"/>
    <w:rsid w:val="00060ECC"/>
    <w:rsid w:val="0006315C"/>
    <w:rsid w:val="000C73CA"/>
    <w:rsid w:val="001027A9"/>
    <w:rsid w:val="00106A7F"/>
    <w:rsid w:val="00120FCF"/>
    <w:rsid w:val="00124BDB"/>
    <w:rsid w:val="0014661F"/>
    <w:rsid w:val="001821AD"/>
    <w:rsid w:val="001D38B3"/>
    <w:rsid w:val="001E7062"/>
    <w:rsid w:val="00203E3C"/>
    <w:rsid w:val="00231BB5"/>
    <w:rsid w:val="00265895"/>
    <w:rsid w:val="002D6251"/>
    <w:rsid w:val="002E0E98"/>
    <w:rsid w:val="002E4B14"/>
    <w:rsid w:val="00305DBE"/>
    <w:rsid w:val="00310626"/>
    <w:rsid w:val="003138FE"/>
    <w:rsid w:val="003448C1"/>
    <w:rsid w:val="003A086E"/>
    <w:rsid w:val="003B0478"/>
    <w:rsid w:val="003E0D1F"/>
    <w:rsid w:val="004741A1"/>
    <w:rsid w:val="004823A8"/>
    <w:rsid w:val="004F2F04"/>
    <w:rsid w:val="00524AD9"/>
    <w:rsid w:val="00532E84"/>
    <w:rsid w:val="005345A9"/>
    <w:rsid w:val="005405EE"/>
    <w:rsid w:val="00555E10"/>
    <w:rsid w:val="00560852"/>
    <w:rsid w:val="00563006"/>
    <w:rsid w:val="005A1163"/>
    <w:rsid w:val="005B0F62"/>
    <w:rsid w:val="005D06B1"/>
    <w:rsid w:val="0064505E"/>
    <w:rsid w:val="006A7EBD"/>
    <w:rsid w:val="007273D9"/>
    <w:rsid w:val="007745EA"/>
    <w:rsid w:val="00776413"/>
    <w:rsid w:val="007847BB"/>
    <w:rsid w:val="00794D32"/>
    <w:rsid w:val="007A35FB"/>
    <w:rsid w:val="007C6091"/>
    <w:rsid w:val="007D76CA"/>
    <w:rsid w:val="008125FA"/>
    <w:rsid w:val="008807BB"/>
    <w:rsid w:val="00886C8B"/>
    <w:rsid w:val="0089027B"/>
    <w:rsid w:val="008B4155"/>
    <w:rsid w:val="008B4EBD"/>
    <w:rsid w:val="008B703B"/>
    <w:rsid w:val="008C3338"/>
    <w:rsid w:val="008D1684"/>
    <w:rsid w:val="00901516"/>
    <w:rsid w:val="00961D83"/>
    <w:rsid w:val="009D4A8C"/>
    <w:rsid w:val="009E3171"/>
    <w:rsid w:val="009F2A63"/>
    <w:rsid w:val="00A17BB1"/>
    <w:rsid w:val="00A9687F"/>
    <w:rsid w:val="00AE7762"/>
    <w:rsid w:val="00B0184A"/>
    <w:rsid w:val="00B41C39"/>
    <w:rsid w:val="00B94CD9"/>
    <w:rsid w:val="00BD3197"/>
    <w:rsid w:val="00C06B5D"/>
    <w:rsid w:val="00C15ADC"/>
    <w:rsid w:val="00C34B13"/>
    <w:rsid w:val="00C726E0"/>
    <w:rsid w:val="00CC7DED"/>
    <w:rsid w:val="00CE38A1"/>
    <w:rsid w:val="00CF2052"/>
    <w:rsid w:val="00CF4381"/>
    <w:rsid w:val="00D4279A"/>
    <w:rsid w:val="00D46F65"/>
    <w:rsid w:val="00D75392"/>
    <w:rsid w:val="00D75BFC"/>
    <w:rsid w:val="00DA62C5"/>
    <w:rsid w:val="00DB21C0"/>
    <w:rsid w:val="00DB3012"/>
    <w:rsid w:val="00DD4E73"/>
    <w:rsid w:val="00DF7B92"/>
    <w:rsid w:val="00E254EC"/>
    <w:rsid w:val="00E266A1"/>
    <w:rsid w:val="00EC39BC"/>
    <w:rsid w:val="00ED7D58"/>
    <w:rsid w:val="00F32BCC"/>
    <w:rsid w:val="00FB0F65"/>
    <w:rsid w:val="00FB1549"/>
    <w:rsid w:val="00FC33ED"/>
    <w:rsid w:val="00FE1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3D04"/>
  <w15:docId w15:val="{C16E910F-45B0-4CA2-8190-25AE15B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6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413"/>
  </w:style>
  <w:style w:type="paragraph" w:styleId="Footer">
    <w:name w:val="footer"/>
    <w:basedOn w:val="Normal"/>
    <w:link w:val="FooterChar"/>
    <w:uiPriority w:val="99"/>
    <w:unhideWhenUsed/>
    <w:rsid w:val="00776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413"/>
  </w:style>
  <w:style w:type="paragraph" w:styleId="BalloonText">
    <w:name w:val="Balloon Text"/>
    <w:basedOn w:val="Normal"/>
    <w:link w:val="BalloonTextChar"/>
    <w:uiPriority w:val="99"/>
    <w:semiHidden/>
    <w:unhideWhenUsed/>
    <w:rsid w:val="0077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4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1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Elona_Nurkaj</dc:creator>
  <cp:lastModifiedBy>Boris-Miska</cp:lastModifiedBy>
  <cp:revision>4</cp:revision>
  <cp:lastPrinted>2021-05-28T08:18:00Z</cp:lastPrinted>
  <dcterms:created xsi:type="dcterms:W3CDTF">2024-01-04T11:02:00Z</dcterms:created>
  <dcterms:modified xsi:type="dcterms:W3CDTF">2024-01-04T11:51:00Z</dcterms:modified>
</cp:coreProperties>
</file>