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68"/>
        <w:gridCol w:w="2610"/>
        <w:gridCol w:w="3927"/>
        <w:gridCol w:w="33"/>
        <w:gridCol w:w="3600"/>
        <w:gridCol w:w="270"/>
        <w:gridCol w:w="1142"/>
        <w:gridCol w:w="28"/>
      </w:tblGrid>
      <w:tr w:rsidR="009D4A8C" w:rsidRPr="00776413" w:rsidTr="00C15ADC">
        <w:trPr>
          <w:gridAfter w:val="1"/>
          <w:wAfter w:w="28" w:type="dxa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r.Rendor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ata e kërkesës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bjekti</w:t>
            </w:r>
            <w:r w:rsidR="009D4A8C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 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5B0F62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arifa</w:t>
            </w:r>
          </w:p>
        </w:tc>
      </w:tr>
      <w:tr w:rsidR="009D4A8C" w:rsidTr="00C15AD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1.</w:t>
            </w:r>
          </w:p>
        </w:tc>
        <w:tc>
          <w:tcPr>
            <w:tcW w:w="2610" w:type="dxa"/>
          </w:tcPr>
          <w:p w:rsidR="009D4A8C" w:rsidRDefault="00DA62C5" w:rsidP="001821AD">
            <w:r>
              <w:rPr>
                <w:rFonts w:ascii="Calibri" w:hAnsi="Calibri" w:cs="Calibri"/>
                <w:color w:val="000000"/>
              </w:rPr>
              <w:t>19/01/</w:t>
            </w:r>
            <w:r w:rsidR="001821AD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3927" w:type="dxa"/>
          </w:tcPr>
          <w:p w:rsidR="009D4A8C" w:rsidRDefault="00DA62C5" w:rsidP="001821AD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 xml:space="preserve">Lenda: 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K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rkes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 xml:space="preserve"> p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r informacion mbi aktivitetet e realizuara gjate vitit 2022 per zvogelimin e riskut nga fatkeq</w:t>
            </w:r>
            <w:r>
              <w:rPr>
                <w:rFonts w:ascii="Calibri" w:hAnsi="Calibri" w:cs="Calibri"/>
                <w:color w:val="000000"/>
                <w:lang w:val="sq-AL"/>
              </w:rPr>
              <w:t>ë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sit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ë </w:t>
            </w:r>
            <w:r w:rsidR="001821AD">
              <w:rPr>
                <w:rFonts w:ascii="Calibri" w:hAnsi="Calibri" w:cs="Calibri"/>
                <w:color w:val="000000"/>
                <w:lang w:val="sq-AL"/>
              </w:rPr>
              <w:t>dhe mbrojtjen civile</w:t>
            </w:r>
          </w:p>
          <w:p w:rsidR="001821AD" w:rsidRPr="00C06B5D" w:rsidRDefault="001821AD" w:rsidP="001821AD">
            <w:pPr>
              <w:rPr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Dergues:</w:t>
            </w:r>
            <w:r w:rsidR="00555E10">
              <w:rPr>
                <w:rFonts w:ascii="Calibri" w:hAnsi="Calibri" w:cs="Calibri"/>
                <w:color w:val="000000"/>
                <w:lang w:val="sq-AL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sq-AL"/>
              </w:rPr>
              <w:t>AKMC</w:t>
            </w:r>
          </w:p>
        </w:tc>
        <w:tc>
          <w:tcPr>
            <w:tcW w:w="3633" w:type="dxa"/>
            <w:gridSpan w:val="2"/>
          </w:tcPr>
          <w:p w:rsidR="001821AD" w:rsidRDefault="001821AD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shkres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suaj, me nr.140/1 Prot.dat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19/01/2023,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protokolluar me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me Nr.80 Prot,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24.01.2023, me l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”</w:t>
            </w:r>
            <w:r w:rsidR="00DA62C5">
              <w:rPr>
                <w:lang w:val="sq-AL"/>
              </w:rPr>
              <w:t>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rkohet info</w:t>
            </w:r>
            <w:r w:rsidR="00555E10">
              <w:rPr>
                <w:lang w:val="sq-AL"/>
              </w:rPr>
              <w:t>rmacion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aktivitetet e realizuara gjat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vitit 2022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zvog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limin e riskut nga fatkeq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</w:t>
            </w:r>
            <w:r w:rsidR="0064505E">
              <w:rPr>
                <w:lang w:val="sq-AL"/>
              </w:rPr>
              <w:t>ë</w:t>
            </w:r>
            <w:r w:rsidR="00DA62C5">
              <w:rPr>
                <w:lang w:val="sq-AL"/>
              </w:rPr>
              <w:t xml:space="preserve"> dhe mbrojtjen civile’’</w:t>
            </w:r>
            <w:r>
              <w:rPr>
                <w:lang w:val="sq-AL"/>
              </w:rPr>
              <w:t>, Instituti i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ndetit Publik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lidhje me kuadrin ligjor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fuqi ka realizuar pikat si 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posht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vijon:</w:t>
            </w:r>
          </w:p>
          <w:p w:rsidR="001821AD" w:rsidRDefault="001821AD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-P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rsa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rket pik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2 lidhur me buxhetin e planifikuar ISHP nuk ka kryer shpenzime buxhetore mbi aktivitetet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emergjencat civile gjat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2022.</w:t>
            </w:r>
          </w:p>
          <w:p w:rsidR="001821AD" w:rsidRDefault="001821AD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-P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pik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4 jan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hartuar planet e emergjencave </w:t>
            </w:r>
            <w:r w:rsidR="00C15ADC">
              <w:rPr>
                <w:lang w:val="sq-AL"/>
              </w:rPr>
              <w:t>sipas fush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s s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rgjegj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sis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ja</w:t>
            </w:r>
            <w:r w:rsidR="00C15ADC"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rgatitur planet si m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 xml:space="preserve"> posht</w:t>
            </w:r>
            <w:r w:rsidR="0064505E">
              <w:rPr>
                <w:lang w:val="sq-AL"/>
              </w:rPr>
              <w:t>ë</w:t>
            </w:r>
            <w:r w:rsidR="00C15ADC">
              <w:rPr>
                <w:lang w:val="sq-AL"/>
              </w:rPr>
              <w:t>:</w:t>
            </w:r>
          </w:p>
          <w:p w:rsidR="00C15ADC" w:rsidRDefault="00C15ADC" w:rsidP="001821AD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1.Emergjenca e COVID-19 dhe shtamet e reja qarkulluese;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strategjik i veprimit ndaj COVID-19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2. Emergjenca e COVID-19 dhe shtamet e reja qarkulluese;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Komb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tar i Vaksinimit ndaj COVID-19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3.E mergjenca e gripit sezonal: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rgatitjes ndaj gripit sezonal dhe virozave respiratore dhe vaksinimit ndaj gripit sezonal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4.Emergjenca e rezistenc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antimikrobike: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Plani strategjik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rezistenc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n antimikrobikedhe </w:t>
            </w:r>
            <w:r>
              <w:rPr>
                <w:lang w:val="sq-AL"/>
              </w:rPr>
              <w:lastRenderedPageBreak/>
              <w:t>survejanc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e saj.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5.Emergjenca nukleare si pasoj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 luft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Ukrain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; Draft-Plani i mbrojtjes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popullat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nga rreziqe nuklare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6.Emergjenca nukleare si pasoj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 luft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Ukrain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Draft-Plani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rgjigjes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rreziqet ndaj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mundjeve infektive dhe vaksinimit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kriz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e refugjat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ve nga Ukraina</w:t>
            </w:r>
          </w:p>
          <w:p w:rsidR="00C15AD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7.Emergjenca e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Draft-Plani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rgjigjes ndaj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</w:t>
            </w:r>
          </w:p>
          <w:p w:rsidR="00C15ADC" w:rsidRPr="00E254EC" w:rsidRDefault="00C15ADC" w:rsidP="00C15A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8. Emergjenca e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Majmunit: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Draft-Plani i vaksinimit ndaj Lis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Majmunit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C15AD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2.</w:t>
            </w:r>
          </w:p>
        </w:tc>
        <w:tc>
          <w:tcPr>
            <w:tcW w:w="2610" w:type="dxa"/>
          </w:tcPr>
          <w:p w:rsidR="003A086E" w:rsidRDefault="00C15ADC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</w:t>
            </w:r>
            <w:r w:rsidR="003A086E"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14661F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L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nda:K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rkohet informacion</w:t>
            </w:r>
          </w:p>
          <w:p w:rsidR="003A086E" w:rsidRPr="00C06B5D" w:rsidRDefault="0014661F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D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rgues</w:t>
            </w:r>
            <w:r w:rsidR="005D06B1">
              <w:rPr>
                <w:rFonts w:ascii="Calibri" w:hAnsi="Calibri" w:cs="Calibri"/>
                <w:color w:val="000000"/>
                <w:lang w:val="sq-AL"/>
              </w:rPr>
              <w:t xml:space="preserve">: </w:t>
            </w:r>
            <w:r>
              <w:rPr>
                <w:rFonts w:ascii="Calibri" w:hAnsi="Calibri" w:cs="Calibri"/>
                <w:color w:val="000000"/>
                <w:lang w:val="sq-AL"/>
              </w:rPr>
              <w:t>AKMC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shkres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suaj nr.244/1,dat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30.01.2023,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protokolluar me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Nr.Prot 115 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01.02,2023 ju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jm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dije si 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DA62C5">
              <w:rPr>
                <w:lang w:val="sq-AL"/>
              </w:rPr>
              <w:t>osh</w:t>
            </w:r>
            <w:r>
              <w:rPr>
                <w:lang w:val="sq-AL"/>
              </w:rPr>
              <w:t>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vijon:</w:t>
            </w:r>
          </w:p>
          <w:p w:rsidR="0014661F" w:rsidRPr="00E254EC" w:rsidRDefault="0014661F" w:rsidP="0014661F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Institutin e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ndetit Publik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vitin 2022 jan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raportuar 122224 testime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rezultuara pozitiv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COVID-19.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Sipas Ministris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dhe Mbrojtjes Sociale numri i vdekjeve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r vitin 2022 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sht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371 raste.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C15AD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3.</w:t>
            </w:r>
          </w:p>
        </w:tc>
        <w:tc>
          <w:tcPr>
            <w:tcW w:w="2610" w:type="dxa"/>
          </w:tcPr>
          <w:p w:rsidR="009D4A8C" w:rsidRDefault="0014661F" w:rsidP="0014661F">
            <w:r>
              <w:rPr>
                <w:rFonts w:ascii="Calibri" w:hAnsi="Calibri" w:cs="Calibri"/>
                <w:color w:val="000000"/>
              </w:rPr>
              <w:t>02.02.2023</w:t>
            </w:r>
          </w:p>
        </w:tc>
        <w:tc>
          <w:tcPr>
            <w:tcW w:w="3927" w:type="dxa"/>
          </w:tcPr>
          <w:p w:rsidR="009D4A8C" w:rsidRDefault="0014661F" w:rsidP="0014661F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L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nda: K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rkes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 p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 informacion</w:t>
            </w:r>
          </w:p>
          <w:p w:rsidR="0014661F" w:rsidRPr="00C06B5D" w:rsidRDefault="0014661F" w:rsidP="0014661F">
            <w:pPr>
              <w:rPr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D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>rgues:Piranjat</w:t>
            </w:r>
          </w:p>
        </w:tc>
        <w:tc>
          <w:tcPr>
            <w:tcW w:w="3633" w:type="dxa"/>
            <w:gridSpan w:val="2"/>
          </w:tcPr>
          <w:p w:rsidR="009D4A8C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Mb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shtetur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e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nga Piranja,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drejtuar institucionit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shkres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me numrin ton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protokollit Nr.112,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02/02/2023, me tem</w:t>
            </w:r>
            <w:r w:rsidR="0064505E">
              <w:rPr>
                <w:lang w:val="sq-AL"/>
              </w:rPr>
              <w:t>ë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”K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informacion’’, ju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jm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dije se:</w:t>
            </w:r>
          </w:p>
          <w:p w:rsidR="0014661F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pyetjes suaj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par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ISHP nuk kryen matje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rrezatimin jo jonizues por i merr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nat nga matjet e kryera nga Autoriteti i Komunikimeve Elektronike Postare.  Raportet e monitorimeve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nivelit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rrezatimeve gjenden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publikuara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faqen zyrtare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AKEP.</w:t>
            </w:r>
          </w:p>
          <w:p w:rsidR="0014661F" w:rsidRDefault="0014661F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vijim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rgjigjes </w:t>
            </w:r>
            <w:r w:rsidR="00DA62C5">
              <w:rPr>
                <w:lang w:val="sq-AL"/>
              </w:rPr>
              <w:t>për</w:t>
            </w:r>
            <w:r>
              <w:rPr>
                <w:lang w:val="sq-AL"/>
              </w:rPr>
              <w:t xml:space="preserve"> pyetjen e dyt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 ISHP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vet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rpunimin dhe analizimin 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nave</w:t>
            </w:r>
            <w:r w:rsidR="005405EE">
              <w:rPr>
                <w:lang w:val="sq-AL"/>
              </w:rPr>
              <w:t>.</w:t>
            </w:r>
            <w:r w:rsidR="00DA62C5">
              <w:rPr>
                <w:lang w:val="sq-AL"/>
              </w:rPr>
              <w:t xml:space="preserve"> </w:t>
            </w:r>
            <w:r w:rsidR="005405EE">
              <w:rPr>
                <w:lang w:val="sq-AL"/>
              </w:rPr>
              <w:t>Duke q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se t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gjitha matjet jan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norm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>, nuk ka pasur impakt negativ n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 xml:space="preserve"> sh</w:t>
            </w:r>
            <w:r w:rsidR="0064505E">
              <w:rPr>
                <w:lang w:val="sq-AL"/>
              </w:rPr>
              <w:t>ë</w:t>
            </w:r>
            <w:r w:rsidR="005405EE">
              <w:rPr>
                <w:lang w:val="sq-AL"/>
              </w:rPr>
              <w:t>ndetin publik.</w:t>
            </w:r>
          </w:p>
          <w:p w:rsidR="005405EE" w:rsidRPr="00E254EC" w:rsidRDefault="005405E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rgjigje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pyetjes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tret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ISHP monitoron d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mtimet nga rrezatimi jonizues dhe jo jonizues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rmjet monitorimit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mundshm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nga survejanca epidemiologjike, deri m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tani nuk kemi asnj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pacient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raportuar si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mtuar nga rrezatimi jonizues dhe jo jonizues.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sa i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rket monitorimit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ekspozimit mbi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e ekspozuar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ambientin e pun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ndaj rrezatimit jonizues, puna jon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bazohet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VKM Nr.80 dat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11/12/2019 nenin 30.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gjith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e ekspozuar ndaj rrezatimit jonizues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sektorin publik dhe privat duhet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paraqesin rezultatet e analizave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rfshira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‘’List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me ekzaminime q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duhet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b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jn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sit e ekspozuar ndaj rrezatimit jonizues” ose rezultatet e </w:t>
            </w:r>
            <w:r>
              <w:rPr>
                <w:lang w:val="sq-AL"/>
              </w:rPr>
              <w:lastRenderedPageBreak/>
              <w:t>analizave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rfshira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“Kontrollin mjek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sor baz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”,’’Kartel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 sh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ndet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sore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marr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dhe vler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simit 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riskut” si dhe ti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nshtrohet vizit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 mjek</w:t>
            </w:r>
            <w:r w:rsidR="003B0478">
              <w:rPr>
                <w:lang w:val="sq-AL"/>
              </w:rPr>
              <w:t>e</w:t>
            </w:r>
            <w:r>
              <w:rPr>
                <w:lang w:val="sq-AL"/>
              </w:rPr>
              <w:t>sore nga mjeku i ISHP-s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me q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llim pajisjen me</w:t>
            </w:r>
            <w:r w:rsidR="003B0478">
              <w:rPr>
                <w:lang w:val="sq-AL"/>
              </w:rPr>
              <w:t xml:space="preserve"> </w:t>
            </w:r>
            <w:r>
              <w:rPr>
                <w:lang w:val="sq-AL"/>
              </w:rPr>
              <w:t>”Raportin e aft</w:t>
            </w:r>
            <w:r w:rsidR="0064505E">
              <w:rPr>
                <w:lang w:val="sq-AL"/>
              </w:rPr>
              <w:t>ë</w:t>
            </w:r>
            <w:r w:rsidR="00DA62C5">
              <w:rPr>
                <w:lang w:val="sq-AL"/>
              </w:rPr>
              <w:t>s</w:t>
            </w:r>
            <w:r>
              <w:rPr>
                <w:lang w:val="sq-AL"/>
              </w:rPr>
              <w:t>is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pun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 xml:space="preserve"> p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r punonj</w:t>
            </w:r>
            <w:r w:rsidR="0064505E">
              <w:rPr>
                <w:lang w:val="sq-AL"/>
              </w:rPr>
              <w:t>ë</w:t>
            </w:r>
            <w:r>
              <w:rPr>
                <w:lang w:val="sq-AL"/>
              </w:rPr>
              <w:t>sit e ekspozuar ndaj rrezatimit jonizues”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C15ADC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4.</w:t>
            </w:r>
          </w:p>
        </w:tc>
        <w:tc>
          <w:tcPr>
            <w:tcW w:w="2610" w:type="dxa"/>
          </w:tcPr>
          <w:p w:rsidR="003A086E" w:rsidRDefault="0064505E" w:rsidP="003A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  <w:r w:rsidR="005405EE">
              <w:rPr>
                <w:rFonts w:ascii="Calibri" w:hAnsi="Calibri" w:cs="Calibri"/>
                <w:color w:val="000000"/>
              </w:rPr>
              <w:t>/02/2023</w:t>
            </w:r>
          </w:p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3A086E" w:rsidRPr="00C06B5D" w:rsidRDefault="00DA62C5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 xml:space="preserve">Lenda: </w:t>
            </w:r>
            <w:r w:rsidR="00555E10">
              <w:rPr>
                <w:rFonts w:ascii="Calibri" w:hAnsi="Calibri" w:cs="Calibri"/>
                <w:color w:val="000000"/>
                <w:lang w:val="sq-AL"/>
              </w:rPr>
              <w:t xml:space="preserve"> 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Kërkesë për informacion</w:t>
            </w:r>
          </w:p>
          <w:p w:rsidR="003A086E" w:rsidRPr="00C06B5D" w:rsidRDefault="005D06B1" w:rsidP="003A086E">
            <w:pPr>
              <w:rPr>
                <w:rFonts w:ascii="Calibri" w:hAnsi="Calibri" w:cs="Calibri"/>
                <w:color w:val="000000"/>
                <w:lang w:val="sq-AL"/>
              </w:rPr>
            </w:pPr>
            <w:r>
              <w:rPr>
                <w:rFonts w:ascii="Calibri" w:hAnsi="Calibri" w:cs="Calibri"/>
                <w:color w:val="000000"/>
                <w:lang w:val="sq-AL"/>
              </w:rPr>
              <w:t>K</w:t>
            </w:r>
            <w:r w:rsidR="00E254EC">
              <w:rPr>
                <w:rFonts w:ascii="Calibri" w:hAnsi="Calibri" w:cs="Calibri"/>
                <w:color w:val="000000"/>
                <w:lang w:val="sq-AL"/>
              </w:rPr>
              <w:t>ë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rkues: </w:t>
            </w:r>
            <w:r w:rsidR="0064505E">
              <w:rPr>
                <w:rFonts w:ascii="Calibri" w:hAnsi="Calibri" w:cs="Calibri"/>
                <w:color w:val="000000"/>
                <w:lang w:val="sq-AL"/>
              </w:rPr>
              <w:t>Arbjona Celiku</w:t>
            </w:r>
          </w:p>
          <w:p w:rsidR="009D4A8C" w:rsidRPr="00C06B5D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Pr="00E254EC" w:rsidRDefault="0064505E" w:rsidP="00DA62C5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Në përgjigje të kërkesës suaj për informacion,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ju informojmë se ISHP ka bashkëpunuar me Agjensinë Kombëtare të Mjedisit për të kryer monitorimin e cilësisë së ajrit në disa qytete të vendit. Agjensia Kombëta</w:t>
            </w:r>
            <w:r w:rsidR="00DA62C5">
              <w:rPr>
                <w:lang w:val="sq-AL"/>
              </w:rPr>
              <w:t>re e Mjedisit disponon rezultate</w:t>
            </w:r>
            <w:r>
              <w:rPr>
                <w:lang w:val="sq-AL"/>
              </w:rPr>
              <w:t xml:space="preserve"> , ku të dhënat i publikon në raportet vjetore mjedisore,</w:t>
            </w:r>
            <w:r w:rsidR="00DA62C5">
              <w:rPr>
                <w:lang w:val="sq-AL"/>
              </w:rPr>
              <w:t xml:space="preserve"> </w:t>
            </w:r>
            <w:r>
              <w:rPr>
                <w:lang w:val="sq-AL"/>
              </w:rPr>
              <w:t>gjithashtu pranë AKM ju gjeni informacionin e nivelit të ndotjes ndër vite në Tiranë.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C15ADC">
        <w:tc>
          <w:tcPr>
            <w:tcW w:w="1368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2610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927" w:type="dxa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3633" w:type="dxa"/>
            <w:gridSpan w:val="2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  <w:tc>
          <w:tcPr>
            <w:tcW w:w="1440" w:type="dxa"/>
            <w:gridSpan w:val="3"/>
          </w:tcPr>
          <w:p w:rsidR="009D4A8C" w:rsidRDefault="009D4A8C" w:rsidP="00776413">
            <w:pPr>
              <w:tabs>
                <w:tab w:val="left" w:pos="2790"/>
              </w:tabs>
            </w:pPr>
          </w:p>
        </w:tc>
      </w:tr>
    </w:tbl>
    <w:p w:rsidR="00794D32" w:rsidRDefault="00794D32" w:rsidP="00776413">
      <w:pPr>
        <w:tabs>
          <w:tab w:val="left" w:pos="2790"/>
        </w:tabs>
      </w:pPr>
    </w:p>
    <w:sectPr w:rsidR="00794D32" w:rsidSect="007764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CA" w:rsidRDefault="000C73CA" w:rsidP="00776413">
      <w:pPr>
        <w:spacing w:after="0" w:line="240" w:lineRule="auto"/>
      </w:pPr>
      <w:r>
        <w:separator/>
      </w:r>
    </w:p>
  </w:endnote>
  <w:endnote w:type="continuationSeparator" w:id="1">
    <w:p w:rsidR="000C73CA" w:rsidRDefault="000C73CA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CA" w:rsidRDefault="000C73CA" w:rsidP="00776413">
      <w:pPr>
        <w:spacing w:after="0" w:line="240" w:lineRule="auto"/>
      </w:pPr>
      <w:r>
        <w:separator/>
      </w:r>
    </w:p>
  </w:footnote>
  <w:footnote w:type="continuationSeparator" w:id="1">
    <w:p w:rsidR="000C73CA" w:rsidRDefault="000C73CA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BE" w:rsidRPr="00A17BB1" w:rsidRDefault="00305DBE">
    <w:pPr>
      <w:pStyle w:val="Header"/>
      <w:rPr>
        <w:rFonts w:ascii="Times New Roman" w:hAnsi="Times New Roman" w:cs="Times New Roman"/>
        <w:b/>
        <w:sz w:val="28"/>
        <w:szCs w:val="28"/>
        <w:lang w:val="it-IT"/>
      </w:rPr>
    </w:pP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                                                               REGJIST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 I K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Ë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RKESAVE DHE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RGJIGJEVE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R </w:t>
    </w:r>
    <w:r w:rsidR="00C06B5D" w:rsidRPr="00A17BB1">
      <w:rPr>
        <w:rFonts w:ascii="Times New Roman" w:hAnsi="Times New Roman" w:cs="Times New Roman"/>
        <w:b/>
        <w:sz w:val="28"/>
        <w:szCs w:val="28"/>
        <w:lang w:val="it-IT"/>
      </w:rPr>
      <w:t>202</w:t>
    </w:r>
    <w:r w:rsidR="003B0478">
      <w:rPr>
        <w:rFonts w:ascii="Times New Roman" w:hAnsi="Times New Roman" w:cs="Times New Roman"/>
        <w:b/>
        <w:sz w:val="28"/>
        <w:szCs w:val="28"/>
        <w:lang w:val="it-IT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619"/>
    <w:multiLevelType w:val="hybridMultilevel"/>
    <w:tmpl w:val="5754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20AAE"/>
    <w:multiLevelType w:val="hybridMultilevel"/>
    <w:tmpl w:val="D4487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1176D"/>
    <w:multiLevelType w:val="hybridMultilevel"/>
    <w:tmpl w:val="E6A0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13"/>
    <w:rsid w:val="000101B0"/>
    <w:rsid w:val="000256CA"/>
    <w:rsid w:val="00060ECC"/>
    <w:rsid w:val="0006315C"/>
    <w:rsid w:val="000C73CA"/>
    <w:rsid w:val="001027A9"/>
    <w:rsid w:val="0014661F"/>
    <w:rsid w:val="001821AD"/>
    <w:rsid w:val="001E7062"/>
    <w:rsid w:val="00203E3C"/>
    <w:rsid w:val="002D6251"/>
    <w:rsid w:val="002E4B14"/>
    <w:rsid w:val="00305DBE"/>
    <w:rsid w:val="00310626"/>
    <w:rsid w:val="003A086E"/>
    <w:rsid w:val="003B0478"/>
    <w:rsid w:val="003E0D1F"/>
    <w:rsid w:val="004F2F04"/>
    <w:rsid w:val="00524AD9"/>
    <w:rsid w:val="005405EE"/>
    <w:rsid w:val="00555E10"/>
    <w:rsid w:val="00560852"/>
    <w:rsid w:val="00563006"/>
    <w:rsid w:val="005A1163"/>
    <w:rsid w:val="005B0F62"/>
    <w:rsid w:val="005D06B1"/>
    <w:rsid w:val="0064505E"/>
    <w:rsid w:val="007273D9"/>
    <w:rsid w:val="007745EA"/>
    <w:rsid w:val="00776413"/>
    <w:rsid w:val="00794D32"/>
    <w:rsid w:val="007A35FB"/>
    <w:rsid w:val="007C6091"/>
    <w:rsid w:val="00886C8B"/>
    <w:rsid w:val="008B4EBD"/>
    <w:rsid w:val="008B703B"/>
    <w:rsid w:val="008C3338"/>
    <w:rsid w:val="009D4A8C"/>
    <w:rsid w:val="009E3171"/>
    <w:rsid w:val="00A17BB1"/>
    <w:rsid w:val="00A9687F"/>
    <w:rsid w:val="00B41C39"/>
    <w:rsid w:val="00B94CD9"/>
    <w:rsid w:val="00C06B5D"/>
    <w:rsid w:val="00C15ADC"/>
    <w:rsid w:val="00C726E0"/>
    <w:rsid w:val="00CE38A1"/>
    <w:rsid w:val="00CF4381"/>
    <w:rsid w:val="00D46F65"/>
    <w:rsid w:val="00D75392"/>
    <w:rsid w:val="00D75BFC"/>
    <w:rsid w:val="00DA62C5"/>
    <w:rsid w:val="00DB3012"/>
    <w:rsid w:val="00DD4E73"/>
    <w:rsid w:val="00E254EC"/>
    <w:rsid w:val="00E266A1"/>
    <w:rsid w:val="00EC39BC"/>
    <w:rsid w:val="00F32BCC"/>
    <w:rsid w:val="00FB0F65"/>
    <w:rsid w:val="00FB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13"/>
  </w:style>
  <w:style w:type="paragraph" w:styleId="Footer">
    <w:name w:val="footer"/>
    <w:basedOn w:val="Normal"/>
    <w:link w:val="Foot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13"/>
  </w:style>
  <w:style w:type="paragraph" w:styleId="BalloonText">
    <w:name w:val="Balloon Text"/>
    <w:basedOn w:val="Normal"/>
    <w:link w:val="BalloonTextChar"/>
    <w:uiPriority w:val="99"/>
    <w:semiHidden/>
    <w:unhideWhenUsed/>
    <w:rsid w:val="0077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Elona_Nurkaj</dc:creator>
  <cp:lastModifiedBy>User</cp:lastModifiedBy>
  <cp:revision>12</cp:revision>
  <cp:lastPrinted>2021-05-28T08:18:00Z</cp:lastPrinted>
  <dcterms:created xsi:type="dcterms:W3CDTF">2023-03-01T11:44:00Z</dcterms:created>
  <dcterms:modified xsi:type="dcterms:W3CDTF">2023-05-17T10:01:00Z</dcterms:modified>
</cp:coreProperties>
</file>